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33" w:rsidRPr="005A6033" w:rsidRDefault="005A6033" w:rsidP="005A6033">
      <w:pPr>
        <w:spacing w:after="0"/>
        <w:ind w:firstLine="709"/>
        <w:jc w:val="right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A60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А. </w:t>
      </w:r>
      <w:proofErr w:type="spellStart"/>
      <w:r w:rsidRPr="005A60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Каспржак</w:t>
      </w:r>
      <w:proofErr w:type="spellEnd"/>
      <w:r w:rsidRPr="005A60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, Н. </w:t>
      </w:r>
      <w:proofErr w:type="spellStart"/>
      <w:r w:rsidRPr="005A60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Бысик</w:t>
      </w:r>
      <w:proofErr w:type="spellEnd"/>
    </w:p>
    <w:p w:rsidR="005A6033" w:rsidRPr="003E01F4" w:rsidRDefault="003E01F4" w:rsidP="005A6033">
      <w:pPr>
        <w:spacing w:after="0"/>
        <w:ind w:firstLine="709"/>
        <w:jc w:val="right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(п</w:t>
      </w:r>
      <w:r w:rsidR="005A6033" w:rsidRPr="003E01F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о материалам рабочей группы Министерства образования и науки РФ по модернизации педагогического образования</w:t>
      </w:r>
      <w:r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)</w:t>
      </w:r>
    </w:p>
    <w:p w:rsidR="001F59D6" w:rsidRDefault="001F59D6" w:rsidP="003E01F4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B861FD" w:rsidRPr="003E01F4" w:rsidRDefault="00E12ADF" w:rsidP="003E01F4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E01F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Педагогическое образование:  проектирование шага развития</w:t>
      </w:r>
    </w:p>
    <w:p w:rsidR="003E01F4" w:rsidRDefault="003E01F4" w:rsidP="003E01F4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B1472" w:rsidRDefault="00967E20" w:rsidP="00967E20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Как известно, любая система стремится к состоянию равновесия. </w:t>
      </w:r>
      <w:r w:rsidR="000B147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Как, впрочем, и то, что равновесным можно назвать такое состояние системы, при котором изменения, 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происходящие</w:t>
      </w:r>
      <w:r w:rsidR="000B147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внутри нее, полностью компенсируют трансформационные, идущие во внешней среде. Эта естественнонаучная истина, к великому сожалению, была предана забвению лидерами российского педагогического образования, что повергло последнее в состояние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кризиса</w:t>
      </w:r>
      <w:r w:rsidR="000B147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 </w:t>
      </w:r>
      <w:r w:rsidR="002B4341">
        <w:rPr>
          <w:rFonts w:ascii="Times New Roman" w:eastAsia="Arial Unicode MS" w:hAnsi="Times New Roman" w:cs="Times New Roman"/>
          <w:color w:val="000000"/>
          <w:sz w:val="28"/>
          <w:szCs w:val="28"/>
        </w:rPr>
        <w:t>Школа отставала от жизни, а система подготовки учителей отставала от процессов, происходящих в средней школе. Ф</w:t>
      </w:r>
      <w:r w:rsidR="000B147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акт </w:t>
      </w:r>
      <w:r w:rsidR="002B434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этот стал столь очевиден всем участникам образовательного процесса, что несколько месяцев назад Министерством образования и науки РФ была создана рабочая группа по подготовке концепции модернизации педагогического образования, с первыми результатами работы которой мы и собираемся познакомить участников конференции.  </w:t>
      </w:r>
    </w:p>
    <w:p w:rsidR="000B1472" w:rsidRDefault="000B1472" w:rsidP="00967E20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B4DB9" w:rsidRDefault="002B4341" w:rsidP="00967E20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Работу мы начали с попытки сформулировать </w:t>
      </w:r>
      <w:r w:rsidRPr="001F59D6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предположения (гипотезы) относительно того, почему сегодня нельзя не менять существующую модель подготовки учителя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="00A4460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Для этого мы соотнесли его – учителя возможности с теми новыми требованиями, которые 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к нему предъявляются</w:t>
      </w:r>
      <w:r w:rsidR="00A4460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сегодня. Впрочем, очень скоро мы поняли, что речь пойдет о формулировке новых требований к квалифицированному учителю. Связано это было с тем, что система его, российского учителя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A4460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подготовки не претерпела сущностных изменений.  Как следствие, выпускником педагогических программ сегодня чаще всего 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является </w:t>
      </w:r>
      <w:r w:rsidR="00A4460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выпускник, ориентированный на работу в логике предметных достижений его ученика. 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 ситуация в школе и особенно за ее стенами сильно изменилась. Все интересанты в работе школы четко артикулируют запрос на выпускника, который уверенно 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чувствует себя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нестандартных ситуациях, умеет принимать решения и отвечать за них, вступать в коммуникацию с целью быть принятым и понятым и т.д.</w:t>
      </w:r>
    </w:p>
    <w:p w:rsidR="009419F3" w:rsidRPr="003E01F4" w:rsidRDefault="009419F3" w:rsidP="00FF27F6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В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этой ситуации в</w:t>
      </w:r>
      <w:r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едущими 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трендами развития систем образования 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многих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стран </w:t>
      </w:r>
      <w:r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ста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ли: </w:t>
      </w:r>
      <w:r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индивидуализация, 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работа учителя, ориентированная 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достижение 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учащимися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определенного набора </w:t>
      </w:r>
      <w:r w:rsidR="00A029F4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образовательных результатов</w:t>
      </w:r>
      <w:r w:rsidR="00DB4DB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(работа в логике компетентностного подхода)</w:t>
      </w:r>
      <w:r w:rsidR="00A029F4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7675AB">
        <w:rPr>
          <w:rFonts w:ascii="Times New Roman" w:eastAsia="Arial Unicode MS" w:hAnsi="Times New Roman" w:cs="Times New Roman"/>
          <w:color w:val="000000"/>
          <w:sz w:val="28"/>
          <w:szCs w:val="28"/>
        </w:rPr>
        <w:t>прозрачность оценочных процедур и т.д.</w:t>
      </w:r>
      <w:r w:rsidR="00084C2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7675AB" w:rsidRDefault="007675AB" w:rsidP="007675A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81A14" w:rsidRDefault="009D4F8D" w:rsidP="007675A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этому следует добавить, что объективными следствиями 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становления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школы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как института информационного общества, станов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>тся потеря  учителем монополии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передачу знаний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эволюци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я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от доминирования  обучения – к учению в образовательном процессе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. Образование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как следствие,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официально провозглашается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(трансформируется в умах участников образовательного процесса) сферой услуг. Учитель же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сознании родителей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>, значительная часть которых теперь име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>т соизмеримый с преподавателем уровень образования</w:t>
      </w:r>
      <w:r w:rsidR="00B35B9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(см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B35B9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Рисунок</w:t>
      </w:r>
      <w:r w:rsidR="005C602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1)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 учеников 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>уже не является носителем сакрального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знани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>я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становится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помощником,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представителем 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>школы (государства)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исполнителем, отвечающим за качество предоставляемой услуги. </w:t>
      </w:r>
    </w:p>
    <w:p w:rsidR="005C602F" w:rsidRDefault="005C602F" w:rsidP="007675A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C602F" w:rsidRPr="005C602F" w:rsidRDefault="00B35B91" w:rsidP="00FF27F6">
      <w:pPr>
        <w:spacing w:after="0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Рисунок</w:t>
      </w:r>
      <w:r w:rsidR="005C602F" w:rsidRPr="005C602F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 1</w:t>
      </w:r>
      <w:r w:rsidR="00FF27F6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. Доля населения РФ в возрасте 15 лет и старше, имеющих высшее образование</w:t>
      </w:r>
      <w:r w:rsidR="00556A26">
        <w:rPr>
          <w:rStyle w:val="a7"/>
          <w:rFonts w:ascii="Times New Roman" w:eastAsia="Arial Unicode MS" w:hAnsi="Times New Roman"/>
          <w:i/>
          <w:color w:val="000000"/>
          <w:sz w:val="28"/>
          <w:szCs w:val="28"/>
          <w:u w:val="single"/>
        </w:rPr>
        <w:footnoteReference w:id="1"/>
      </w:r>
    </w:p>
    <w:p w:rsidR="00781A14" w:rsidRDefault="00781A14" w:rsidP="007675A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C602F" w:rsidRDefault="005C602F" w:rsidP="007675A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602F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60BB34" wp14:editId="23FA79F5">
            <wp:extent cx="5940425" cy="3402149"/>
            <wp:effectExtent l="0" t="0" r="317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602F" w:rsidRDefault="005C602F" w:rsidP="007675A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02600D" w:rsidRPr="003E01F4" w:rsidRDefault="00FF27F6" w:rsidP="00FF27F6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Нельзя не отметить, </w:t>
      </w:r>
      <w:r w:rsidR="00781A14">
        <w:rPr>
          <w:rFonts w:ascii="Times New Roman" w:eastAsia="Arial Unicode MS" w:hAnsi="Times New Roman" w:cs="Times New Roman"/>
          <w:color w:val="000000"/>
          <w:sz w:val="28"/>
          <w:szCs w:val="28"/>
        </w:rPr>
        <w:t>что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традиционная школа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сегодня </w:t>
      </w:r>
      <w:r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вынуждена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конкурировать со стремительно развивающимся семейным обучением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>. Это, на наш взгляд, говорит о том, что д</w:t>
      </w:r>
      <w:r w:rsidR="00503DB4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аже о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>плот российского</w:t>
      </w:r>
      <w:r w:rsidR="0002600D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школьного </w:t>
      </w:r>
      <w:r w:rsidR="009419F3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образования</w:t>
      </w:r>
      <w:r w:rsidR="0002600D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– начальная </w:t>
      </w:r>
      <w:r w:rsidR="009C1E76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ступень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(как тут не вспомнить о наших 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достижениях в исследовании 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PIRLS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="009C1E76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уже не выглядит современно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й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>, привлекательной для учеников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их родителей. Внутре</w:t>
      </w:r>
      <w:r w:rsidR="0002600D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нний распорядок  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жизни современного молодого человека в школе </w:t>
      </w:r>
      <w:r w:rsidR="009419F3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(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>общее для всех расписание</w:t>
      </w:r>
      <w:r w:rsidR="009419F3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традиционное расположение па</w:t>
      </w:r>
      <w:proofErr w:type="gramStart"/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>рт в кл</w:t>
      </w:r>
      <w:proofErr w:type="gramEnd"/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>ассе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 рядом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 стендами и фотографиями великих</w:t>
      </w:r>
      <w:r w:rsidR="009419F3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железобетонный </w:t>
      </w:r>
      <w:r w:rsidR="0002600D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учебный план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>, состоящий из традиционного набора предметов, заданный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равилами игры авторитет учителя и</w:t>
      </w:r>
      <w:r w:rsidR="00F823E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многое другое – все это никак </w:t>
      </w:r>
      <w:r w:rsidR="00503DB4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не вписываются в реалии современной жизни</w:t>
      </w:r>
      <w:r w:rsidR="0002600D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BD7BBE" w:rsidRDefault="00D765BD" w:rsidP="00FF27F6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Индикатором всей этой несовременности, архаичности работы отечественной школы можно 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считать стабильно низкие результаты российских </w:t>
      </w:r>
      <w:r w:rsidR="00BD7BBE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15-летних учащихся 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подростков в международном исследовании 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PISA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что, на наш взгляд, является следствием противоречий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между современными требованиями к качеству и содержанию образования и традиционными институтами, методами и формами обучения и воспитания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</w:rPr>
        <w:t>, читай – ресурсами современного отечественного учителя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Это очень хорошо видно, если выводы относительно дефицитов российских школьников в исследовании 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PISA</w:t>
      </w:r>
      <w:r w:rsidR="00BD7BBE">
        <w:rPr>
          <w:rStyle w:val="a7"/>
          <w:rFonts w:ascii="Times New Roman" w:eastAsia="Arial Unicode MS" w:hAnsi="Times New Roman"/>
          <w:color w:val="000000"/>
          <w:sz w:val="28"/>
          <w:szCs w:val="28"/>
          <w:lang w:val="en-US"/>
        </w:rPr>
        <w:footnoteReference w:id="2"/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соотнести с дефицитами, которые были обнаружены у студентов – будущих учителей математики и начальной школы в исследовании </w:t>
      </w:r>
      <w:r w:rsidR="00BD7BBE" w:rsidRPr="003E01F4">
        <w:rPr>
          <w:rFonts w:ascii="Times New Roman" w:eastAsia="Arial Unicode MS" w:hAnsi="Times New Roman" w:cs="Times New Roman"/>
          <w:color w:val="000000"/>
          <w:sz w:val="28"/>
          <w:szCs w:val="28"/>
          <w:lang w:val="en-US"/>
        </w:rPr>
        <w:t>TEDS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</w:rPr>
        <w:t>-2008</w:t>
      </w:r>
      <w:r w:rsidR="00B35B91">
        <w:rPr>
          <w:rStyle w:val="a7"/>
          <w:rFonts w:ascii="Times New Roman" w:eastAsia="Arial Unicode MS" w:hAnsi="Times New Roman"/>
          <w:color w:val="000000"/>
          <w:sz w:val="28"/>
          <w:szCs w:val="28"/>
        </w:rPr>
        <w:footnoteReference w:id="3"/>
      </w:r>
      <w:r w:rsidR="00B35B9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(см</w:t>
      </w:r>
      <w:r w:rsidR="00FF27F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B35B9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Таблицу 1</w:t>
      </w:r>
      <w:r w:rsidR="00BD7BB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). 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BD7BBE" w:rsidRDefault="00BD7BBE" w:rsidP="005C602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BD7BBE" w:rsidRPr="00FF27F6" w:rsidRDefault="00B35B91" w:rsidP="00FF27F6">
      <w:pPr>
        <w:spacing w:after="0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  <w:r w:rsidRPr="005C602F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Таблица 1</w:t>
      </w:r>
      <w:r w:rsidR="00FF27F6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r w:rsidRPr="00FF27F6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Дефициты, обнаруженные у российских школьников в исследовании PISA, студентов – в TEDS-2008</w:t>
      </w:r>
    </w:p>
    <w:p w:rsidR="00BD7BBE" w:rsidRDefault="00BD7BBE" w:rsidP="005C602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5B91" w:rsidTr="00B35B91">
        <w:tc>
          <w:tcPr>
            <w:tcW w:w="4785" w:type="dxa"/>
          </w:tcPr>
          <w:p w:rsidR="00B35B91" w:rsidRPr="00B35B91" w:rsidRDefault="00B35B91" w:rsidP="00B35B91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35B9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PISA</w:t>
            </w:r>
          </w:p>
        </w:tc>
        <w:tc>
          <w:tcPr>
            <w:tcW w:w="4786" w:type="dxa"/>
          </w:tcPr>
          <w:p w:rsidR="00B35B91" w:rsidRPr="00B35B91" w:rsidRDefault="00B35B91" w:rsidP="00B35B91">
            <w:pPr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</w:pPr>
            <w:r w:rsidRPr="00B35B9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>TEDS</w:t>
            </w:r>
          </w:p>
        </w:tc>
      </w:tr>
      <w:tr w:rsidR="00B35B91" w:rsidTr="00B35B91">
        <w:tc>
          <w:tcPr>
            <w:tcW w:w="4785" w:type="dxa"/>
          </w:tcPr>
          <w:p w:rsidR="00B35B91" w:rsidRPr="00B35B91" w:rsidRDefault="00B35B91" w:rsidP="00B35B91">
            <w:pPr>
              <w:jc w:val="both"/>
              <w:outlineLvl w:val="0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B35B91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val="single"/>
              </w:rPr>
              <w:t>У российских  школьников:</w:t>
            </w:r>
          </w:p>
          <w:p w:rsidR="00B35B91" w:rsidRDefault="00B35B91" w:rsidP="00B35B91">
            <w:pPr>
              <w:pStyle w:val="a4"/>
              <w:numPr>
                <w:ilvl w:val="0"/>
                <w:numId w:val="13"/>
              </w:numPr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F59D6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Не сформированы различные типы чтения</w:t>
            </w:r>
            <w:r w:rsidRPr="00B35B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(работа с информацией, представленной в неявном виде, форме таблиц, реконструкция разных точек зрения и т.д.);</w:t>
            </w:r>
          </w:p>
          <w:p w:rsidR="00B35B91" w:rsidRDefault="00B35B91" w:rsidP="00B35B91">
            <w:pPr>
              <w:pStyle w:val="a4"/>
              <w:numPr>
                <w:ilvl w:val="0"/>
                <w:numId w:val="13"/>
              </w:numPr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1F59D6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Отсутствует учебная самостоятельность,</w:t>
            </w:r>
            <w:r w:rsidRPr="001F59D6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1F59D6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присутствует установка на стереотип</w:t>
            </w:r>
            <w:r w:rsidRPr="00B35B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(не могут </w:t>
            </w:r>
            <w:r w:rsidRPr="00B35B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 xml:space="preserve">самостоятельно установить  требуемый уровень точности ответа, </w:t>
            </w:r>
            <w:proofErr w:type="gramStart"/>
            <w:r w:rsidRPr="00B35B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на используется</w:t>
            </w:r>
            <w:proofErr w:type="gramEnd"/>
            <w:r w:rsidRPr="00B35B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личный опыт и т.д.);</w:t>
            </w:r>
          </w:p>
          <w:p w:rsidR="00B35B91" w:rsidRPr="00B35B91" w:rsidRDefault="00B35B91" w:rsidP="00B35B91">
            <w:pPr>
              <w:pStyle w:val="a4"/>
              <w:numPr>
                <w:ilvl w:val="0"/>
                <w:numId w:val="13"/>
              </w:numPr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F59D6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Нет потребности решить</w:t>
            </w:r>
            <w:proofErr w:type="gramEnd"/>
            <w:r w:rsidRPr="001F59D6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 проблему, но не задачу</w:t>
            </w:r>
            <w:r w:rsidRPr="00B35B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 (предметы – сигналы; подсчитать – применить формулу, объяснить что-то кому-то).</w:t>
            </w:r>
          </w:p>
        </w:tc>
        <w:tc>
          <w:tcPr>
            <w:tcW w:w="4786" w:type="dxa"/>
          </w:tcPr>
          <w:p w:rsidR="00B35B91" w:rsidRPr="00B35B91" w:rsidRDefault="00B35B91" w:rsidP="00B35B91">
            <w:pPr>
              <w:jc w:val="both"/>
              <w:outlineLvl w:val="0"/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B35B91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u w:val="single"/>
              </w:rPr>
              <w:lastRenderedPageBreak/>
              <w:t>Российские студенты (учителя):</w:t>
            </w:r>
          </w:p>
          <w:p w:rsidR="00B35B91" w:rsidRDefault="00B35B91" w:rsidP="00B35B91">
            <w:pPr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«…</w:t>
            </w:r>
            <w:r w:rsidRPr="00B35B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достаточно </w:t>
            </w:r>
            <w:r w:rsidRPr="001F59D6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>успешно справляются с большинством математических заданий, требующих воспроизведения изученного содержания</w:t>
            </w:r>
            <w:r w:rsidRPr="00B35B9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B35B9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(определения, теоремы, теоретического факта, алгоритма действий и т. п.), но </w:t>
            </w:r>
            <w:r w:rsidRPr="001F59D6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t xml:space="preserve">испытывают затруднения при выполнении заданий, требующих </w:t>
            </w:r>
            <w:r w:rsidRPr="001F59D6">
              <w:rPr>
                <w:rFonts w:ascii="Times New Roman" w:eastAsia="Arial Unicode MS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самостоятельного вывода, анализа предложенной математической ситуации или решения поставленной проблемы.</w:t>
            </w:r>
          </w:p>
        </w:tc>
      </w:tr>
    </w:tbl>
    <w:p w:rsidR="00BD7BBE" w:rsidRDefault="00BD7BBE" w:rsidP="005C602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72E2A" w:rsidRDefault="001F59D6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>Вывод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напрашива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тся сам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собой. Основная характеристика отечественного</w:t>
      </w:r>
      <w:r w:rsidRPr="001F59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педагогическо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го вуза (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образовательн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программ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>по подготовке учителя в непрофильном вузе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)  –  его  «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школьность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». Образовательный процесс</w:t>
      </w:r>
      <w:r w:rsidR="00325AB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</w:t>
      </w:r>
      <w:r w:rsidR="00325AB1" w:rsidRPr="00325AB1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базовая характеристика процесса подготовки</w:t>
      </w:r>
      <w:r w:rsidR="00325AB1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российского учителя</w:t>
      </w:r>
      <w:r w:rsidR="00325AB1">
        <w:rPr>
          <w:rFonts w:ascii="Times New Roman" w:eastAsia="Arial Unicode MS" w:hAnsi="Times New Roman" w:cs="Times New Roman"/>
          <w:color w:val="000000"/>
          <w:sz w:val="28"/>
          <w:szCs w:val="28"/>
        </w:rPr>
        <w:t>)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- </w:t>
      </w:r>
      <w:r w:rsidRPr="001F59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жесткий, его «ведут» преподаватели, 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 </w:t>
      </w:r>
      <w:r w:rsidRPr="001F59D6">
        <w:rPr>
          <w:rFonts w:ascii="Times New Roman" w:eastAsia="Arial Unicode MS" w:hAnsi="Times New Roman" w:cs="Times New Roman"/>
          <w:color w:val="000000"/>
          <w:sz w:val="28"/>
          <w:szCs w:val="28"/>
        </w:rPr>
        <w:t>логику задает  академическая наука. Как следствие – студент (и его будущий ученик) не склонен к самостоятельности (отсутствует свобода, инициатива, ответственность).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Именно это, на наш взгляд, одна из основных причин указанных </w:t>
      </w:r>
      <w:r w:rsidR="009419F3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выше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противоречи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й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C1E76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и проблем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которые </w:t>
      </w:r>
      <w:r w:rsidR="003454AF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требуют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12ADF" w:rsidRPr="003E01F4">
        <w:rPr>
          <w:rFonts w:ascii="Times New Roman" w:eastAsia="Arial Unicode MS" w:hAnsi="Times New Roman" w:cs="Times New Roman"/>
          <w:color w:val="000000"/>
          <w:sz w:val="28"/>
          <w:szCs w:val="28"/>
        </w:rPr>
        <w:t>качественных изменений в организации, содержании, технологиях и  масштабе подготовки педагогов.</w:t>
      </w:r>
      <w:r w:rsidR="00FE079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3454AF" w:rsidRPr="003E01F4" w:rsidRDefault="00FE079B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Здесь, как вы понимаете, мы переходим к </w:t>
      </w:r>
      <w:r w:rsidR="001F59D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попытке ответить на вопрос</w:t>
      </w:r>
      <w:r w:rsidR="00325AB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ы</w:t>
      </w:r>
      <w:r w:rsidR="001F59D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: «</w:t>
      </w:r>
      <w:r w:rsidR="003454AF" w:rsidRPr="00060F5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</w:rPr>
        <w:t>Как</w:t>
      </w:r>
      <w:r w:rsidR="00060F58" w:rsidRPr="00060F5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</w:rPr>
        <w:t xml:space="preserve"> сегодня в России выглядит система подготовки учителей</w:t>
      </w:r>
      <w:r w:rsidR="00325AB1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</w:rPr>
        <w:t xml:space="preserve"> </w:t>
      </w:r>
      <w:r w:rsidR="00325AB1" w:rsidRPr="00325AB1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(основной ответ на этот вопрос уже дан в первой части настоящего абзаца)</w:t>
      </w:r>
      <w:r w:rsidR="003454AF" w:rsidRPr="00325AB1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</w:rPr>
        <w:t>?</w:t>
      </w:r>
      <w:r w:rsidR="00060F5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325AB1" w:rsidRPr="00325AB1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</w:rPr>
        <w:t>Каковы основные характеристики «входа» в программы подготовки и профессию учителя?</w:t>
      </w:r>
    </w:p>
    <w:p w:rsidR="003454AF" w:rsidRPr="003E01F4" w:rsidRDefault="00E72E2A" w:rsidP="00FE079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ab/>
      </w:r>
      <w:r w:rsidR="003454AF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Российская Федерация унаследовала систему подготовки педагогических кадров, выстроенную в условиях регулируемого рынка труда, что позволяло осуществлять обязательное распределение выпускников, жест</w:t>
      </w:r>
      <w:r w:rsidR="00503DB4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 регулировать число студентов и</w:t>
      </w:r>
      <w:r w:rsidR="003454AF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ограничивать мобильность абитуриентов. Система подготовки педагогов </w:t>
      </w:r>
      <w:r w:rsidR="00503DB4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долгие годы </w:t>
      </w:r>
      <w:r w:rsidR="003454AF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не изменялась и опиралась на сеть педагогических вузов и учреждений среднего профессионального образования, относительно равномерно распределенную территориально. </w:t>
      </w:r>
    </w:p>
    <w:p w:rsidR="00CF5029" w:rsidRPr="003E01F4" w:rsidRDefault="00E72E2A" w:rsidP="0068610A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ab/>
      </w:r>
      <w:r w:rsidR="00503DB4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</w:t>
      </w:r>
      <w:r w:rsidR="003454AF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503DB4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начала 2000-х гг.</w:t>
      </w:r>
      <w:r w:rsidR="003454AF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число педагогических вузов</w:t>
      </w:r>
      <w:r w:rsidR="00FE079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но </w:t>
      </w:r>
      <w:r w:rsidR="00FE079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не образовательных программ подготовки педагогов)</w:t>
      </w:r>
      <w:r w:rsidR="003454AF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503DB4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стало сокращаться</w:t>
      </w:r>
      <w:r w:rsidR="003454AF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. </w:t>
      </w:r>
      <w:r w:rsidR="00D76730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Большая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их </w:t>
      </w:r>
      <w:r w:rsidR="00D76730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часть вошла в состав крупных</w:t>
      </w:r>
      <w:r w:rsidR="00CF5029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университет</w:t>
      </w:r>
      <w:r w:rsidR="00D76730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ов</w:t>
      </w:r>
      <w:r w:rsidR="00CF5029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. Ряд педагогических вузов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сами </w:t>
      </w:r>
      <w:r w:rsidR="00CF5029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получили статус университетов или академий. </w:t>
      </w:r>
      <w:r w:rsidR="00375582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Специальности</w:t>
      </w:r>
      <w:r w:rsidR="00CF5029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 направления педагогического образования были открыты в непрофильных вузах, причем не только в классических университетах, но и в </w:t>
      </w:r>
      <w:r w:rsidR="00CF5029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>технических, медицинских, сельскохозяйственных, вузах искусства и т.п.</w:t>
      </w:r>
      <w:r w:rsidR="0068610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68610A" w:rsidRPr="0068610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Так, в  2008 году  подготовку осуществляли 196 вузов, в том числе 70 – педагогических, в 2012 году- 167 вузов, в том числе в  </w:t>
      </w:r>
      <w:r w:rsidR="0068610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48 - собственно педагогических. </w:t>
      </w:r>
      <w:r w:rsidR="0068610A" w:rsidRPr="0068610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План приема на обучение за счет средств федерального бюджета РФ по УГС  050000  «Образование и педагогика» в 2012 году составлял более 57 тыс. бюджетных мест, выпуск специалистов с высшим педагогическим образованием в 2012  году - 133,1 тысячи специалистов</w:t>
      </w:r>
      <w:r w:rsidR="0068610A">
        <w:rPr>
          <w:rStyle w:val="a7"/>
          <w:rFonts w:ascii="Times New Roman" w:eastAsia="Arial Unicode MS" w:hAnsi="Times New Roman"/>
          <w:color w:val="000000"/>
          <w:sz w:val="28"/>
          <w:szCs w:val="28"/>
          <w:u w:color="000000"/>
        </w:rPr>
        <w:footnoteReference w:id="4"/>
      </w:r>
      <w:r w:rsidR="0068610A" w:rsidRPr="0068610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</w:p>
    <w:p w:rsidR="00335B97" w:rsidRDefault="00E72E2A" w:rsidP="001E183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ab/>
      </w:r>
      <w:r w:rsidR="00335B97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При этом качественный состав абитуриентов вузов педагогического профиля</w:t>
      </w:r>
      <w:r w:rsidR="001E18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образовательных программ подготовки учителей</w:t>
      </w:r>
      <w:r w:rsidR="00335B97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значительно ниже, чем абитуриентов </w:t>
      </w:r>
      <w:r w:rsidR="001E18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других специальностей (</w:t>
      </w:r>
      <w:r w:rsidR="00325AB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характеристик «входа», </w:t>
      </w:r>
      <w:r w:rsidR="001E18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Рисунок 2</w:t>
      </w:r>
      <w:r w:rsidR="00335B97" w:rsidRPr="003E01F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).</w:t>
      </w:r>
    </w:p>
    <w:p w:rsidR="001E183B" w:rsidRDefault="001E183B" w:rsidP="001E183B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325AB1" w:rsidRPr="00E72E2A" w:rsidRDefault="001E183B" w:rsidP="00E72E2A">
      <w:pPr>
        <w:spacing w:after="0"/>
        <w:jc w:val="right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  <w:r w:rsidRPr="001E183B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Рисунок 2</w:t>
      </w:r>
      <w:r w:rsid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r w:rsidR="00325AB1" w:rsidRP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Распределение первокурсников различных учебных заведений </w:t>
      </w:r>
    </w:p>
    <w:p w:rsidR="00325AB1" w:rsidRPr="00E72E2A" w:rsidRDefault="00325AB1" w:rsidP="00E72E2A">
      <w:pPr>
        <w:spacing w:after="0"/>
        <w:jc w:val="right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  <w:r w:rsidRP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по баллам ЕГЭ (2010 год)</w:t>
      </w:r>
      <w:r w:rsidRPr="00E72E2A">
        <w:rPr>
          <w:i/>
          <w:u w:val="single"/>
          <w:vertAlign w:val="superscript"/>
        </w:rPr>
        <w:footnoteReference w:id="5"/>
      </w:r>
    </w:p>
    <w:p w:rsidR="00335B97" w:rsidRPr="003E01F4" w:rsidRDefault="00335B97" w:rsidP="003E01F4">
      <w:pPr>
        <w:spacing w:after="0"/>
        <w:ind w:firstLine="567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5431D3" w:rsidRDefault="005431D3" w:rsidP="00CF5029">
      <w:pPr>
        <w:spacing w:line="360" w:lineRule="auto"/>
        <w:ind w:firstLine="709"/>
        <w:jc w:val="both"/>
        <w:outlineLvl w:val="0"/>
        <w:rPr>
          <w:rFonts w:eastAsia="Arial Unicode MS"/>
          <w:color w:val="000000"/>
          <w:sz w:val="28"/>
          <w:szCs w:val="28"/>
          <w:u w:color="000000"/>
        </w:rPr>
      </w:pPr>
      <w:r>
        <w:rPr>
          <w:rFonts w:eastAsia="Arial Unicode MS"/>
          <w:noProof/>
          <w:color w:val="000000"/>
          <w:sz w:val="28"/>
          <w:szCs w:val="28"/>
          <w:u w:color="000000"/>
          <w:lang w:eastAsia="ru-RU"/>
        </w:rPr>
        <w:drawing>
          <wp:inline distT="0" distB="0" distL="0" distR="0">
            <wp:extent cx="5379907" cy="3135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218" cy="3144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519" w:rsidRDefault="00E93519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Тут весьма уместно провести некоторое сравнение уровня претендентов на поступление на образовательные программы подготовки учителей в разных  странах. </w:t>
      </w:r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Так, если «…в США лишь 23% первокурсников в педвузах приходят из верхней трети (по успеваемости) выпускников школ. В Финляндии, Сингапуре и Южной Корее эта цифра составляет 100% </w:t>
      </w:r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>(</w:t>
      </w:r>
      <w:proofErr w:type="spellStart"/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Auguste</w:t>
      </w:r>
      <w:proofErr w:type="spellEnd"/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et.al, 2010)»</w:t>
      </w:r>
      <w:r>
        <w:rPr>
          <w:rStyle w:val="a7"/>
          <w:rFonts w:ascii="Times New Roman" w:eastAsia="Arial Unicode MS" w:hAnsi="Times New Roman"/>
          <w:color w:val="000000"/>
          <w:sz w:val="28"/>
          <w:szCs w:val="28"/>
          <w:u w:color="000000"/>
        </w:rPr>
        <w:footnoteReference w:id="6"/>
      </w:r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 в России такие студенты отсутствуют вовсе (смотри Рисунок 2</w:t>
      </w:r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).</w:t>
      </w:r>
    </w:p>
    <w:p w:rsidR="00E93519" w:rsidRDefault="00E93519" w:rsidP="003411B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E93519" w:rsidRDefault="00E93519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Добавим к этому, что с приближением к окончан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ию вуза количество желающих свя</w:t>
      </w:r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зать свою профессиональную деятельн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ость с учительством падает (см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  <w:r w:rsidR="0009387D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Рисунок 3</w:t>
      </w:r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), а доля тех, кто идет на работу в школу из семей с высшим образованием, составляет только 15,2%</w:t>
      </w:r>
      <w:r>
        <w:rPr>
          <w:rStyle w:val="a7"/>
          <w:rFonts w:ascii="Times New Roman" w:eastAsia="Arial Unicode MS" w:hAnsi="Times New Roman"/>
          <w:color w:val="000000"/>
          <w:sz w:val="28"/>
          <w:szCs w:val="28"/>
          <w:u w:color="000000"/>
        </w:rPr>
        <w:footnoteReference w:id="7"/>
      </w:r>
      <w:r w:rsidR="00C106C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</w:t>
      </w:r>
      <w:r w:rsidR="00C106C7" w:rsidRPr="00C106C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</w:rPr>
        <w:t>характеристика «выхода» из программы, «входа» в профессию</w:t>
      </w:r>
      <w:r w:rsidR="00C106C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</w:t>
      </w:r>
      <w:r w:rsidRP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</w:p>
    <w:p w:rsidR="00E93519" w:rsidRDefault="00E93519" w:rsidP="00E93519">
      <w:pPr>
        <w:spacing w:after="0"/>
        <w:jc w:val="right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E93519" w:rsidRPr="00E72E2A" w:rsidRDefault="00E93519" w:rsidP="00E72E2A">
      <w:pPr>
        <w:spacing w:after="0"/>
        <w:jc w:val="right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  <w:r w:rsidRP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E93519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Рисунок 3</w:t>
      </w:r>
      <w:r w:rsid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r w:rsidRP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Возрастная динамика изменения образовательных и профессиональных планов студентов педагогических вузов (%)</w:t>
      </w:r>
      <w:r w:rsidRPr="00E72E2A">
        <w:rPr>
          <w:i/>
          <w:u w:val="single"/>
          <w:vertAlign w:val="superscript"/>
        </w:rPr>
        <w:footnoteReference w:id="8"/>
      </w:r>
      <w:r w:rsidRP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, 2007 год</w:t>
      </w:r>
    </w:p>
    <w:p w:rsidR="00E93519" w:rsidRDefault="00E93519" w:rsidP="003411B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E93519" w:rsidRDefault="00E93519" w:rsidP="00E93519">
      <w:pPr>
        <w:spacing w:after="0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3665284" cy="3219610"/>
            <wp:effectExtent l="0" t="0" r="11430" b="1905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3519" w:rsidRDefault="00E93519" w:rsidP="003411B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E01241" w:rsidRDefault="00E01241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Итак, проведя анализ </w:t>
      </w:r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результат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ов </w:t>
      </w:r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приема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студентов на</w:t>
      </w:r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gramStart"/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обучени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е</w:t>
      </w:r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по</w:t>
      </w:r>
      <w:proofErr w:type="gramEnd"/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педагогическим направле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ниям подготовки,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 также данных</w:t>
      </w:r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о  трудоустройстве выпускников соответствующих программ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можно, вслед за В.С.</w:t>
      </w:r>
      <w:r w:rsidR="00A7419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Собкиным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констатировать </w:t>
      </w:r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сущест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вование</w:t>
      </w:r>
      <w:r w:rsidRPr="00E0124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«двойного негативного отбора», когда в педагогические вузы поступают не самые «лучшие» (в академическом смысле) абитуриенты, а учителями становятся не самые «лучшие» выпускники.</w:t>
      </w:r>
    </w:p>
    <w:p w:rsidR="000F20B5" w:rsidRDefault="00E72E2A" w:rsidP="003411B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ab/>
        <w:t>З</w:t>
      </w:r>
      <w:r w:rsidR="003064B2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начительная часть выпускников программ педагогической подготовки не трудоустраиваются ни в систему образования, ни в  социальную  сферу. </w:t>
      </w:r>
      <w:r w:rsidR="000F20B5" w:rsidRPr="000F20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Однако в таком положении дел нет ничего неожиданного, поскольку система педагогического образования готовит гораздо больше специалистов, чем требуется. Так, по данным М. Л. </w:t>
      </w:r>
      <w:proofErr w:type="spellStart"/>
      <w:r w:rsidR="000F20B5" w:rsidRPr="000F20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Аграновича</w:t>
      </w:r>
      <w:proofErr w:type="spellEnd"/>
      <w:r w:rsidR="000F20B5">
        <w:rPr>
          <w:rStyle w:val="a7"/>
          <w:rFonts w:ascii="Times New Roman" w:eastAsia="Arial Unicode MS" w:hAnsi="Times New Roman"/>
          <w:color w:val="000000"/>
          <w:sz w:val="28"/>
          <w:szCs w:val="28"/>
          <w:u w:color="000000"/>
        </w:rPr>
        <w:footnoteReference w:id="9"/>
      </w:r>
      <w:r w:rsidR="000F20B5" w:rsidRPr="000F20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максимальная годовая потребность российской системы образования -  35 тысяч новых учителей. Суммарный выпуск специалистов с педагогическим образованием (СПО и ВПО) в 2011 г. составил 145 тысяч. Из них учителей – около 100 тысяч.</w:t>
      </w:r>
    </w:p>
    <w:p w:rsidR="00325AB1" w:rsidRDefault="003411BF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Продолжая обсуждение возможностей</w:t>
      </w:r>
      <w:r w:rsidR="000A67F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(вариантов)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«входа» в профессию, мы заметили еще одну очень интересную значимую для общей ситуации в п</w:t>
      </w:r>
      <w:r w:rsidR="00E935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роцессе подготовки учителей деталь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. </w:t>
      </w:r>
      <w:r w:rsidR="000F20B5" w:rsidRPr="000F20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Если оставить за скобками имеющуюся в России </w:t>
      </w:r>
      <w:r w:rsidR="000F20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развилку между средним специаль</w:t>
      </w:r>
      <w:r w:rsidR="000F20B5" w:rsidRPr="000F20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ным и высшим педагогическим образованием, то путь в профессию учител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я</w:t>
      </w:r>
      <w:r w:rsidR="000F20B5" w:rsidRPr="000F20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в России, в отличие от систем образования других стран, предельно прям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ой</w:t>
      </w:r>
      <w:r w:rsid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(см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  <w:r w:rsid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Рисунок 4)</w:t>
      </w:r>
      <w:r w:rsidR="000F20B5" w:rsidRPr="000F20B5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</w:p>
    <w:p w:rsidR="000F20B5" w:rsidRDefault="000F20B5" w:rsidP="000F20B5">
      <w:pPr>
        <w:spacing w:after="0"/>
        <w:jc w:val="right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</w:p>
    <w:p w:rsidR="000F20B5" w:rsidRPr="00E72E2A" w:rsidRDefault="000F20B5" w:rsidP="00E72E2A">
      <w:pPr>
        <w:spacing w:after="0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  <w:r w:rsidRPr="000F20B5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Рисунок 4</w:t>
      </w:r>
      <w:r w:rsid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r w:rsidR="00C8273C" w:rsidRP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Базовая модель подготовки учителя</w:t>
      </w:r>
    </w:p>
    <w:p w:rsidR="000F20B5" w:rsidRPr="003411BF" w:rsidRDefault="000F20B5" w:rsidP="003411B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noProof/>
          <w:lang w:eastAsia="ru-RU"/>
        </w:rPr>
        <w:drawing>
          <wp:inline distT="0" distB="0" distL="0" distR="0" wp14:anchorId="7F6DDC72" wp14:editId="34AF018B">
            <wp:extent cx="5940425" cy="1741233"/>
            <wp:effectExtent l="0" t="0" r="4127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8273C" w:rsidRPr="00C8273C" w:rsidRDefault="00C8273C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Поступив в </w:t>
      </w:r>
      <w:proofErr w:type="spellStart"/>
      <w:r w:rsidRP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бакалавриат</w:t>
      </w:r>
      <w:proofErr w:type="spellEnd"/>
      <w:r w:rsidRP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на одну</w:t>
      </w:r>
      <w:r w:rsidRP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из учительских специальностей, молодые россияне в ходе освоения программ разного уровня могут менять и меняют свое намерение стать педагогом и не приходят в школу. </w:t>
      </w:r>
    </w:p>
    <w:p w:rsidR="00C8273C" w:rsidRDefault="00C8273C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Институциональных же механизмов, обеспечивающих восполнение вполне объективных, прогнозируемых потерь (например, поступление в педагогическую магистратуру после окончания непедагогического бакалавриата), в российской системе подготовки учителей нет. </w:t>
      </w:r>
      <w:r w:rsidRPr="00707F03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 xml:space="preserve">То есть система педагогического образования </w:t>
      </w:r>
      <w:r w:rsidR="00E72E2A" w:rsidRPr="00707F03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 xml:space="preserve">в России </w:t>
      </w:r>
      <w:r w:rsidRPr="00707F03">
        <w:rPr>
          <w:rFonts w:ascii="Times New Roman" w:eastAsia="Arial Unicode MS" w:hAnsi="Times New Roman" w:cs="Times New Roman"/>
          <w:i/>
          <w:color w:val="000000"/>
          <w:sz w:val="28"/>
          <w:szCs w:val="28"/>
          <w:u w:color="000000"/>
        </w:rPr>
        <w:t>«закрытая», что ведет не только к игнорированию внешних изменений (учителей готовят вообще, а не для решения определенного набора задач), но и к общей стагнации.</w:t>
      </w:r>
      <w:r w:rsidRP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Стагнация иллюстрируется многими индикаторами (проявленными в ходе мониторинга вузов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например</w:t>
      </w:r>
      <w:r w:rsidRPr="00C8273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). Остановимся здесь чуть более подробно.</w:t>
      </w:r>
    </w:p>
    <w:p w:rsidR="003064B2" w:rsidRDefault="00E72E2A" w:rsidP="00C8273C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lastRenderedPageBreak/>
        <w:tab/>
      </w:r>
      <w:r w:rsidR="003064B2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Данные мониторинга учреждений высшего профессионального образования России, проведенного Министерством образования и науки в 2012 году, показывают: ситуация в указанном секторе не столь оптимистична, как хотелось бы. Независимо от нашего отношения к предложенной методике, если 71,43% педагогических вузов отнесены к учреждениям, имеющим признаки неэффективности, а среди медицинских таковых 10,26%</w:t>
      </w:r>
      <w:r w:rsid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(см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  <w:r w:rsid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Рисунок 5)</w:t>
      </w:r>
      <w:r w:rsidR="003064B2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это</w:t>
      </w:r>
      <w:r w:rsid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является еще одним аргументом в пользу на</w:t>
      </w:r>
      <w:r w:rsidR="003064B2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з</w:t>
      </w:r>
      <w:r w:rsid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ревшей институциональной реформы</w:t>
      </w:r>
      <w:r w:rsidR="003064B2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педагогического образования.</w:t>
      </w:r>
    </w:p>
    <w:p w:rsidR="00C8273C" w:rsidRDefault="00C8273C" w:rsidP="00C8273C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</w:p>
    <w:p w:rsidR="00C8273C" w:rsidRPr="00E72E2A" w:rsidRDefault="003064B2" w:rsidP="00E72E2A">
      <w:pPr>
        <w:spacing w:after="0"/>
        <w:jc w:val="right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Рисунок 5</w:t>
      </w:r>
      <w:r w:rsid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r w:rsidRP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Распределение вузов с признаками неэффективности, 2012 год</w:t>
      </w:r>
      <w:r w:rsidRPr="00E72E2A">
        <w:rPr>
          <w:i/>
          <w:u w:val="single"/>
          <w:vertAlign w:val="superscript"/>
        </w:rPr>
        <w:footnoteReference w:id="10"/>
      </w:r>
    </w:p>
    <w:p w:rsidR="003064B2" w:rsidRPr="003064B2" w:rsidRDefault="003064B2" w:rsidP="003064B2">
      <w:pPr>
        <w:spacing w:after="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</w:rPr>
      </w:pPr>
    </w:p>
    <w:p w:rsidR="00C8273C" w:rsidRPr="00C8273C" w:rsidRDefault="003064B2" w:rsidP="003064B2">
      <w:pPr>
        <w:spacing w:after="0"/>
        <w:jc w:val="center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5431D3">
        <w:rPr>
          <w:rFonts w:eastAsia="Arial Unicode MS"/>
          <w:noProof/>
          <w:color w:val="000000"/>
          <w:sz w:val="28"/>
          <w:szCs w:val="28"/>
          <w:u w:color="000000"/>
          <w:lang w:eastAsia="ru-RU"/>
        </w:rPr>
        <w:drawing>
          <wp:inline distT="0" distB="0" distL="0" distR="0" wp14:anchorId="29DFC835" wp14:editId="09104F95">
            <wp:extent cx="6093439" cy="4618105"/>
            <wp:effectExtent l="0" t="0" r="22225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35B97" w:rsidRPr="003064B2" w:rsidRDefault="003064B2" w:rsidP="00E72E2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Здесь, </w:t>
      </w:r>
      <w:r w:rsidRPr="003064B2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color="000000"/>
        </w:rPr>
        <w:t>самое время, как нам кажется, вернуться к размышлениям относительно процесса подготовки учителя</w:t>
      </w:r>
      <w:r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, то есть – качества соответствующих образовательных программ. Начнем с того, что результаты этого процесса, не удовлетворяют </w:t>
      </w:r>
      <w:r w:rsidR="009556F3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даже студентов</w:t>
      </w:r>
      <w:r w:rsidR="00335B97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(</w:t>
      </w:r>
      <w:r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см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  <w:r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Таблицу 2</w:t>
      </w:r>
      <w:r w:rsidR="00335B97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)</w:t>
      </w:r>
      <w:r w:rsidR="00E72E2A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, не говоря уж о работодателях и</w:t>
      </w:r>
      <w:r w:rsidR="00CC60C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потребителях услуги</w:t>
      </w:r>
      <w:r w:rsidR="00335B97" w:rsidRPr="003064B2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</w:p>
    <w:p w:rsidR="003064B2" w:rsidRDefault="003064B2" w:rsidP="003064B2">
      <w:pPr>
        <w:spacing w:after="0"/>
        <w:jc w:val="both"/>
        <w:outlineLvl w:val="0"/>
        <w:rPr>
          <w:rFonts w:eastAsia="Arial Unicode MS"/>
          <w:color w:val="000000"/>
          <w:sz w:val="28"/>
          <w:szCs w:val="28"/>
          <w:u w:color="000000"/>
        </w:rPr>
      </w:pPr>
    </w:p>
    <w:p w:rsidR="00CC60C9" w:rsidRPr="00E72E2A" w:rsidRDefault="00CC60C9" w:rsidP="00E72E2A">
      <w:pPr>
        <w:spacing w:after="0"/>
        <w:jc w:val="right"/>
        <w:outlineLvl w:val="0"/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</w:pPr>
      <w:r w:rsidRPr="00CC60C9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Таблиц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а </w:t>
      </w:r>
      <w:r w:rsidRPr="00CC60C9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 2</w:t>
      </w:r>
      <w:r w:rsid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r w:rsidRPr="00E72E2A">
        <w:rPr>
          <w:rFonts w:ascii="Times New Roman" w:eastAsia="Arial Unicode MS" w:hAnsi="Times New Roman" w:cs="Times New Roman"/>
          <w:i/>
          <w:color w:val="000000"/>
          <w:sz w:val="28"/>
          <w:szCs w:val="28"/>
          <w:u w:val="single"/>
        </w:rPr>
        <w:t>Оценка студентами педагогических образовательных программ качества получаемых в вузе знаний и умений</w:t>
      </w:r>
      <w:r w:rsidRPr="00E72E2A">
        <w:rPr>
          <w:i/>
          <w:u w:val="single"/>
          <w:vertAlign w:val="superscript"/>
        </w:rPr>
        <w:footnoteReference w:id="11"/>
      </w:r>
    </w:p>
    <w:p w:rsidR="00CC60C9" w:rsidRDefault="00CC60C9" w:rsidP="003064B2">
      <w:pPr>
        <w:spacing w:after="0"/>
        <w:jc w:val="both"/>
        <w:outlineLvl w:val="0"/>
        <w:rPr>
          <w:rFonts w:eastAsia="Arial Unicode MS"/>
          <w:color w:val="000000"/>
          <w:sz w:val="28"/>
          <w:szCs w:val="28"/>
          <w:u w:color="000000"/>
        </w:rPr>
      </w:pPr>
    </w:p>
    <w:tbl>
      <w:tblPr>
        <w:tblW w:w="87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2126"/>
        <w:gridCol w:w="2271"/>
      </w:tblGrid>
      <w:tr w:rsidR="00335B97" w:rsidRPr="00CC60C9" w:rsidTr="00CC60C9">
        <w:trPr>
          <w:trHeight w:val="584"/>
          <w:jc w:val="center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E76" w:rsidRPr="00CC60C9" w:rsidRDefault="009C1E76" w:rsidP="004F0FBD">
            <w:pPr>
              <w:spacing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E76" w:rsidRPr="00CC60C9" w:rsidRDefault="00335B97" w:rsidP="004F0FBD">
            <w:pPr>
              <w:spacing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Студенты, работающие по специальности 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E76" w:rsidRPr="00CC60C9" w:rsidRDefault="00335B97" w:rsidP="004F0FBD">
            <w:pPr>
              <w:spacing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Неработающие студенты</w:t>
            </w:r>
          </w:p>
        </w:tc>
      </w:tr>
      <w:tr w:rsidR="00335B97" w:rsidRPr="00CC60C9" w:rsidTr="00CC60C9">
        <w:trPr>
          <w:trHeight w:val="584"/>
          <w:jc w:val="center"/>
        </w:trPr>
        <w:tc>
          <w:tcPr>
            <w:tcW w:w="43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E76" w:rsidRPr="00CC60C9" w:rsidRDefault="00335B97" w:rsidP="00CC60C9">
            <w:pPr>
              <w:spacing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Вуз не дает достаточных  ни теоретических  знаний, ни практических умений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1E76" w:rsidRPr="00CC60C9" w:rsidRDefault="00335B97" w:rsidP="004F0FBD">
            <w:pPr>
              <w:spacing w:line="240" w:lineRule="auto"/>
              <w:ind w:firstLine="709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21,1</w:t>
            </w:r>
          </w:p>
        </w:tc>
        <w:tc>
          <w:tcPr>
            <w:tcW w:w="227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1E76" w:rsidRPr="00CC60C9" w:rsidRDefault="00335B97" w:rsidP="004F0FBD">
            <w:pPr>
              <w:spacing w:line="240" w:lineRule="auto"/>
              <w:ind w:firstLine="709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12,4</w:t>
            </w:r>
          </w:p>
        </w:tc>
      </w:tr>
      <w:tr w:rsidR="00335B97" w:rsidRPr="00CC60C9" w:rsidTr="00CC60C9">
        <w:trPr>
          <w:trHeight w:val="584"/>
          <w:jc w:val="center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E76" w:rsidRPr="00CC60C9" w:rsidRDefault="00335B97" w:rsidP="00CC60C9">
            <w:pPr>
              <w:spacing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Знания, которые </w:t>
            </w:r>
            <w:proofErr w:type="gramStart"/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дает мне вуз по выбранной специальности поверхностны</w:t>
            </w:r>
            <w:proofErr w:type="gramEnd"/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и неглубоки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1E76" w:rsidRPr="00CC60C9" w:rsidRDefault="00335B97" w:rsidP="004F0FBD">
            <w:pPr>
              <w:spacing w:line="240" w:lineRule="auto"/>
              <w:ind w:firstLine="709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30,4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1E76" w:rsidRPr="00CC60C9" w:rsidRDefault="00335B97" w:rsidP="004F0FBD">
            <w:pPr>
              <w:spacing w:line="240" w:lineRule="auto"/>
              <w:ind w:firstLine="709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19,1 </w:t>
            </w:r>
          </w:p>
        </w:tc>
      </w:tr>
      <w:tr w:rsidR="00335B97" w:rsidRPr="00CC60C9" w:rsidTr="00CC60C9">
        <w:trPr>
          <w:trHeight w:val="584"/>
          <w:jc w:val="center"/>
        </w:trPr>
        <w:tc>
          <w:tcPr>
            <w:tcW w:w="4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C1E76" w:rsidRPr="00CC60C9" w:rsidRDefault="00335B97" w:rsidP="00CC60C9">
            <w:pPr>
              <w:spacing w:line="240" w:lineRule="auto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Знания, которые дает мне вуз по выбранной специальности, фрагментарны и </w:t>
            </w:r>
            <w:proofErr w:type="spellStart"/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несистематизированны</w:t>
            </w:r>
            <w:proofErr w:type="spellEnd"/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1E76" w:rsidRPr="00CC60C9" w:rsidRDefault="00335B97" w:rsidP="004F0FBD">
            <w:pPr>
              <w:spacing w:line="240" w:lineRule="auto"/>
              <w:ind w:firstLine="709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44,4 </w:t>
            </w:r>
          </w:p>
        </w:tc>
        <w:tc>
          <w:tcPr>
            <w:tcW w:w="22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1E76" w:rsidRPr="00CC60C9" w:rsidRDefault="00335B97" w:rsidP="004F0FBD">
            <w:pPr>
              <w:spacing w:line="240" w:lineRule="auto"/>
              <w:ind w:firstLine="709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C60C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36,5 </w:t>
            </w:r>
          </w:p>
        </w:tc>
      </w:tr>
    </w:tbl>
    <w:p w:rsidR="00335B97" w:rsidRDefault="00335B97" w:rsidP="00CF5029">
      <w:pPr>
        <w:spacing w:line="360" w:lineRule="auto"/>
        <w:ind w:firstLine="709"/>
        <w:jc w:val="both"/>
        <w:outlineLvl w:val="0"/>
        <w:rPr>
          <w:rFonts w:eastAsia="Arial Unicode MS"/>
          <w:color w:val="000000"/>
          <w:sz w:val="28"/>
          <w:szCs w:val="28"/>
          <w:u w:color="000000"/>
        </w:rPr>
      </w:pPr>
    </w:p>
    <w:p w:rsidR="00DF5CE5" w:rsidRDefault="0014233D" w:rsidP="00DF5CE5">
      <w:p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CC60C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Таким образом,  </w:t>
      </w:r>
      <w:r w:rsidR="00CC60C9" w:rsidRPr="00CC60C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можно констатировать, что </w:t>
      </w:r>
    </w:p>
    <w:p w:rsidR="0014233D" w:rsidRPr="00DF5CE5" w:rsidRDefault="00CC60C9" w:rsidP="00DF5CE5">
      <w:pPr>
        <w:pBdr>
          <w:left w:val="single" w:sz="18" w:space="4" w:color="auto"/>
        </w:pBdr>
        <w:spacing w:after="0"/>
        <w:ind w:left="851"/>
        <w:jc w:val="both"/>
        <w:outlineLvl w:val="0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</w:pPr>
      <w:r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в отечественной </w:t>
      </w:r>
      <w:r w:rsidR="0014233D"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>системе подготовк</w:t>
      </w:r>
      <w:r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и педагогических кадров </w:t>
      </w:r>
      <w:r w:rsidR="00E72E2A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>существует</w:t>
      </w:r>
      <w:r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 </w:t>
      </w:r>
      <w:r w:rsidR="00C106C7"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 противоречие</w:t>
      </w:r>
      <w:r w:rsidR="0014233D"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 между ожиданиями потребителей (требованиями к качеству образования) и возможностями учителя, получившего традиционное педагогическое образ</w:t>
      </w:r>
      <w:r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>ование (повышение квалификации)</w:t>
      </w:r>
      <w:r w:rsidR="00C106C7"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>. С</w:t>
      </w:r>
      <w:r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>уществуя параллельно с объективным противоречием между</w:t>
      </w:r>
      <w:r w:rsidR="0014233D"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 индивидуальн</w:t>
      </w:r>
      <w:r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ым характером </w:t>
      </w:r>
      <w:r w:rsidR="0014233D"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деятельности педагога и индустриальным поточным способом его </w:t>
      </w:r>
      <w:r w:rsidR="006B0167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обучения,  это </w:t>
      </w:r>
      <w:r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 прив</w:t>
      </w:r>
      <w:r w:rsidR="006B0167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>одит</w:t>
      </w:r>
      <w:r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 xml:space="preserve"> систему подготовки учителей в России в состояние кризиса</w:t>
      </w:r>
      <w:r w:rsidR="0014233D" w:rsidRPr="00DF5CE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</w:rPr>
        <w:t>.</w:t>
      </w:r>
    </w:p>
    <w:p w:rsidR="00CC60C9" w:rsidRDefault="00CC60C9" w:rsidP="00CC60C9">
      <w:p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p w:rsidR="00582606" w:rsidRDefault="00582606" w:rsidP="006B0167">
      <w:pPr>
        <w:spacing w:after="0"/>
        <w:ind w:firstLine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Для того, что бы понять, как и куда нам следует двигаться, </w:t>
      </w:r>
      <w:r w:rsidR="00517791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мы изучили материалы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реформ </w:t>
      </w:r>
      <w:r w:rsidR="00517791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систем </w:t>
      </w: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подготовки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учителей</w:t>
      </w:r>
      <w:r w:rsidR="00517791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, которые, как выяснилось, прошли за последние 20-30 лет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 12 странах Азии, Ев</w:t>
      </w: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ропы и Северной </w:t>
      </w: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lastRenderedPageBreak/>
        <w:t>Америки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. Проведенная нами работа показала, </w:t>
      </w: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что все действия реформаторов свод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ились  к решению трех основных задач: </w:t>
      </w:r>
    </w:p>
    <w:p w:rsidR="00582606" w:rsidRDefault="00582606" w:rsidP="00582606">
      <w:pPr>
        <w:pStyle w:val="a4"/>
        <w:numPr>
          <w:ilvl w:val="0"/>
          <w:numId w:val="14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повышение престиж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а</w:t>
      </w: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профессии учителя и привлечение лучших выпускников в профессию</w:t>
      </w:r>
      <w:r w:rsidR="001360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r w:rsidR="00136025" w:rsidRPr="001360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(</w:t>
      </w:r>
      <w:r w:rsidR="00136025" w:rsidRPr="00136025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«вход» в учебу</w:t>
      </w:r>
      <w:r w:rsidR="004108A5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, поступление на программы подготовки учителей</w:t>
      </w:r>
      <w:r w:rsidR="001360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)</w:t>
      </w: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; </w:t>
      </w:r>
    </w:p>
    <w:p w:rsidR="00582606" w:rsidRDefault="00582606" w:rsidP="00582606">
      <w:pPr>
        <w:pStyle w:val="a4"/>
        <w:numPr>
          <w:ilvl w:val="0"/>
          <w:numId w:val="14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у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держание пришедших в профессию</w:t>
      </w:r>
      <w:r w:rsidR="001360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(</w:t>
      </w:r>
      <w:r w:rsidR="00136025" w:rsidRPr="00136025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«вход» в профессию</w:t>
      </w:r>
      <w:r w:rsidR="0042552F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, удержание в ней лучших</w:t>
      </w:r>
      <w:r w:rsidR="001360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)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;</w:t>
      </w:r>
    </w:p>
    <w:p w:rsidR="00582606" w:rsidRPr="00582606" w:rsidRDefault="00582606" w:rsidP="00582606">
      <w:pPr>
        <w:pStyle w:val="a4"/>
        <w:numPr>
          <w:ilvl w:val="0"/>
          <w:numId w:val="14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переход к таким образовательным программам</w:t>
      </w:r>
      <w:r w:rsidR="006B0167" w:rsidRPr="006B0167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 xml:space="preserve"> </w:t>
      </w:r>
      <w:r w:rsidR="006B0167" w:rsidRP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подготовки учителей</w:t>
      </w: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, которые помогают в решении первых двух задач</w:t>
      </w:r>
      <w:r w:rsidR="001360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(</w:t>
      </w:r>
      <w:r w:rsidR="00136025" w:rsidRPr="00136025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новые требования к организации и содержанию образовательных программ</w:t>
      </w:r>
      <w:r w:rsidR="001360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)</w:t>
      </w:r>
      <w:r w:rsidRPr="0058260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.</w:t>
      </w:r>
    </w:p>
    <w:p w:rsidR="00517791" w:rsidRDefault="00517791" w:rsidP="00CC60C9">
      <w:p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p w:rsidR="00136025" w:rsidRDefault="00136025" w:rsidP="006B0167">
      <w:pPr>
        <w:spacing w:after="0"/>
        <w:ind w:firstLine="36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На основании этого анализа </w:t>
      </w:r>
      <w:r w:rsidRPr="004108A5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нами были сформулированы предложения по поводу основных характеристик системы подготовки учителей в России</w:t>
      </w:r>
      <w:r w:rsidRPr="0013602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. К ним мы о</w:t>
      </w:r>
      <w:r w:rsidR="004108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тнесли следующие характеристики.</w:t>
      </w:r>
      <w:r w:rsidR="00FC437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</w:p>
    <w:p w:rsidR="00047FA5" w:rsidRDefault="00047FA5" w:rsidP="0042552F">
      <w:p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p w:rsidR="004108A5" w:rsidRPr="00047FA5" w:rsidRDefault="004108A5" w:rsidP="0042552F">
      <w:pPr>
        <w:pStyle w:val="a4"/>
        <w:numPr>
          <w:ilvl w:val="0"/>
          <w:numId w:val="16"/>
        </w:numPr>
        <w:spacing w:after="0"/>
        <w:jc w:val="both"/>
        <w:outlineLvl w:val="0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</w:pPr>
      <w:r w:rsidRPr="00047FA5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«Вход» в учебу</w:t>
      </w:r>
      <w:r w:rsidRPr="004108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, </w:t>
      </w:r>
      <w:r w:rsidRPr="00047FA5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поступление на программы подготовки учителей:</w:t>
      </w:r>
    </w:p>
    <w:p w:rsidR="00136025" w:rsidRDefault="00136025" w:rsidP="0042552F">
      <w:pPr>
        <w:pStyle w:val="a4"/>
        <w:numPr>
          <w:ilvl w:val="1"/>
          <w:numId w:val="16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4108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Необходимо ориентироваться на многоканальность получения высшего педагогического образования.  Например, возможны такие модели: «Традиционная модель», «Университетская модель», «Подготовка на рабочем месте» и т.д.</w:t>
      </w:r>
    </w:p>
    <w:p w:rsidR="00047FA5" w:rsidRPr="00047FA5" w:rsidRDefault="00047FA5" w:rsidP="0042552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Отбор кандидатов  на педагогические программы необходимо осуществлять через систему тестов, анализ личного дела и собеседование с абитуриентами.</w:t>
      </w:r>
    </w:p>
    <w:p w:rsidR="00047FA5" w:rsidRDefault="00047FA5" w:rsidP="0042552F">
      <w:pPr>
        <w:pStyle w:val="a4"/>
        <w:spacing w:after="0"/>
        <w:ind w:left="1080"/>
        <w:jc w:val="both"/>
        <w:outlineLvl w:val="0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</w:pPr>
    </w:p>
    <w:p w:rsidR="004108A5" w:rsidRDefault="004108A5" w:rsidP="0042552F">
      <w:pPr>
        <w:pStyle w:val="a4"/>
        <w:spacing w:after="0"/>
        <w:ind w:left="108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047FA5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>Основани</w:t>
      </w:r>
      <w:r w:rsidR="00FC437A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 xml:space="preserve">я, </w:t>
      </w:r>
      <w:r w:rsidR="0042552F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 xml:space="preserve"> аргументы</w:t>
      </w:r>
      <w:r w:rsidR="00FC437A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>, доводы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:</w:t>
      </w:r>
    </w:p>
    <w:p w:rsidR="00047FA5" w:rsidRDefault="00047FA5" w:rsidP="0042552F">
      <w:pPr>
        <w:pStyle w:val="a4"/>
        <w:numPr>
          <w:ilvl w:val="1"/>
          <w:numId w:val="17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</w:t>
      </w:r>
      <w:r w:rsidR="004108A5" w:rsidRPr="004108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 Франции поступать в Институты подготовки учителей разрешается студентам ба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калавриата любой направленности. 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Прете</w:t>
      </w:r>
      <w:r w:rsid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ндент должен сдать экзамен по 1-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2 предметам, которые в пер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спективе собирается преподавать;</w:t>
      </w:r>
    </w:p>
    <w:p w:rsidR="00047FA5" w:rsidRDefault="00047FA5" w:rsidP="0042552F">
      <w:pPr>
        <w:pStyle w:val="a4"/>
        <w:numPr>
          <w:ilvl w:val="1"/>
          <w:numId w:val="17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</w:t>
      </w: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Г</w:t>
      </w:r>
      <w:r w:rsid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ермании</w:t>
      </w: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, Англии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и</w:t>
      </w: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других странах, как </w:t>
      </w:r>
      <w:proofErr w:type="gramStart"/>
      <w:r w:rsidR="006B0167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впрочем</w:t>
      </w:r>
      <w:proofErr w:type="gramEnd"/>
      <w:r w:rsidR="006B0167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и у нас в России, 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на первых этапах информатизации обр</w:t>
      </w: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азовательных учреждений для вос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полнения острого кадрового дефицита доступ к учительской профессии на 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некоторое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врем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я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был открыт </w:t>
      </w: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представителям 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других</w:t>
      </w: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профессий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. Преподавателями информатики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в Германии 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могли стать специалисты в области IT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-технологий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после прохождения продолжительной стажировки в школе – </w:t>
      </w:r>
      <w:proofErr w:type="spellStart"/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рефендариата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;</w:t>
      </w:r>
    </w:p>
    <w:p w:rsidR="004108A5" w:rsidRDefault="00047FA5" w:rsidP="0042552F">
      <w:pPr>
        <w:pStyle w:val="a4"/>
        <w:numPr>
          <w:ilvl w:val="1"/>
          <w:numId w:val="17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lastRenderedPageBreak/>
        <w:t>в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Англии количество вариантов, освоения той ил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и иной учительской образователь</w:t>
      </w:r>
      <w:r w:rsidR="004108A5"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ной программы меняется</w:t>
      </w:r>
      <w:r w:rsidR="006E557D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в зависимости от запроса рынка;</w:t>
      </w:r>
    </w:p>
    <w:p w:rsidR="006E557D" w:rsidRDefault="006E557D" w:rsidP="006E557D">
      <w:pPr>
        <w:pStyle w:val="a4"/>
        <w:numPr>
          <w:ilvl w:val="1"/>
          <w:numId w:val="17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6E557D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в Англии «…все абитуриенты проходят вступительное собеседование, призванное выявить их </w:t>
      </w:r>
      <w:proofErr w:type="spellStart"/>
      <w:r w:rsidRPr="006E557D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мотивированность</w:t>
      </w:r>
      <w:proofErr w:type="spellEnd"/>
      <w:r w:rsidRPr="006E557D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к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учительской профессии…</w:t>
      </w:r>
      <w:r>
        <w:rPr>
          <w:rStyle w:val="a7"/>
          <w:rFonts w:ascii="Times New Roman" w:eastAsia="Arial Unicode MS" w:hAnsi="Times New Roman"/>
          <w:bCs/>
          <w:color w:val="000000"/>
          <w:sz w:val="28"/>
          <w:szCs w:val="28"/>
          <w:u w:color="000000"/>
        </w:rPr>
        <w:footnoteReference w:id="12"/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»</w:t>
      </w:r>
      <w:r w:rsidRPr="006E557D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, во Франции – все претенденты на учебу в учительских институтах проходят собеседование  и т.д. Проведение такого рода процедур, с одной стороны, позволяет отобрать для обучения на образовательных программах подготовки учителей людей склонных к педагогической деятельности, а с другой – создают некоторый ореол исключительности профессии учителя.</w:t>
      </w:r>
    </w:p>
    <w:p w:rsidR="00047FA5" w:rsidRPr="00047FA5" w:rsidRDefault="00047FA5" w:rsidP="0042552F">
      <w:pPr>
        <w:pStyle w:val="a4"/>
        <w:spacing w:after="0"/>
        <w:ind w:left="144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p w:rsidR="0042552F" w:rsidRPr="0042552F" w:rsidRDefault="0042552F" w:rsidP="0042552F">
      <w:pPr>
        <w:pStyle w:val="a4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</w:pPr>
      <w:r w:rsidRPr="0042552F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«Вход» в профессию, удержание в ней лучших</w:t>
      </w:r>
      <w:r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:</w:t>
      </w:r>
    </w:p>
    <w:p w:rsidR="0042552F" w:rsidRPr="0042552F" w:rsidRDefault="0042552F" w:rsidP="0042552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Принятие окончательного решения относительно выбора профессии должно быть отложено и происходить после бакалавриата, получения общей гуманитарной или естественнонаучной подготовки.</w:t>
      </w:r>
    </w:p>
    <w:p w:rsidR="00047FA5" w:rsidRPr="00047FA5" w:rsidRDefault="00047FA5" w:rsidP="0042552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Вход в профессиональную деятельность должен осуществляться через  независимый профессиональный экзамен по окончани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ю</w:t>
      </w:r>
      <w:r w:rsidRPr="00047FA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интернатуры (примерно один учебный год самостоятельной работы в коле «под присмотром» ментора).</w:t>
      </w:r>
    </w:p>
    <w:p w:rsidR="0042552F" w:rsidRDefault="0042552F" w:rsidP="0042552F">
      <w:pPr>
        <w:pStyle w:val="a4"/>
        <w:numPr>
          <w:ilvl w:val="1"/>
          <w:numId w:val="16"/>
        </w:num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Необходимо создать «кадровые перспективы» внутри учительской профессии, что будет способствовать закреплению молодежи в профессии, становлению системы непрерывного педагогического образования.</w:t>
      </w:r>
    </w:p>
    <w:p w:rsidR="0042552F" w:rsidRDefault="0042552F" w:rsidP="0042552F">
      <w:pPr>
        <w:spacing w:after="0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</w:pPr>
    </w:p>
    <w:p w:rsidR="0042552F" w:rsidRPr="0042552F" w:rsidRDefault="00FC437A" w:rsidP="0042552F">
      <w:pPr>
        <w:spacing w:after="0"/>
        <w:ind w:left="372" w:firstLine="708"/>
        <w:jc w:val="both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 xml:space="preserve">Основания, </w:t>
      </w:r>
      <w:r w:rsidR="0042552F" w:rsidRPr="0042552F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>аргументы</w:t>
      </w:r>
      <w:r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>, доводы</w:t>
      </w:r>
      <w:r w:rsidR="0042552F" w:rsidRPr="0042552F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>:</w:t>
      </w:r>
    </w:p>
    <w:p w:rsidR="0042552F" w:rsidRDefault="0042552F" w:rsidP="0042552F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 Германии по окончани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ю</w:t>
      </w:r>
      <w:r w:rsidRP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proofErr w:type="gramStart"/>
      <w:r w:rsidRP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педагогического</w:t>
      </w:r>
      <w:proofErr w:type="gramEnd"/>
      <w:r w:rsidRP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бакалавриата можно сделать выбор между педагогической и непедагогической магистратурой. Выпускник бакалавриата выбирает, какую степень он намерен получить: «бакалавр наук» или «бакалавр 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скусств» (квалификация учителя);</w:t>
      </w:r>
    </w:p>
    <w:p w:rsidR="0042552F" w:rsidRDefault="006E557D" w:rsidP="0042552F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</w:t>
      </w:r>
      <w:r w:rsid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езависимый экзамен на право преподавания сдается практически во всех развитых странах. В тех странах, которые присвоили учителю статус государственного служащего, таких </w:t>
      </w:r>
      <w:r w:rsid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lastRenderedPageBreak/>
        <w:t xml:space="preserve">экзаменов 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даже</w:t>
      </w:r>
      <w:r w:rsidR="0042552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два. Во Франции, например,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студенты, по окончании первого курсы магистратуры сдают экзамен на получение статуса государственного служащего, после второго – на право самостоятельного преподавания (во время магистратуры они работают в школе в качестве стажёра, которым руководит представитель школы, вуза и территориальной методической службы);</w:t>
      </w:r>
    </w:p>
    <w:p w:rsidR="006E557D" w:rsidRDefault="006E557D" w:rsidP="006E557D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</w:t>
      </w:r>
      <w:r w:rsidRPr="006E557D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Англии британский учитель имеет возможность «шагать» по пяти уровням внутри профессии: новичок – продвинутый молодой учитель – специалист – знаток – эксперт.</w:t>
      </w:r>
    </w:p>
    <w:p w:rsidR="006E557D" w:rsidRPr="0042552F" w:rsidRDefault="006E557D" w:rsidP="006E557D">
      <w:pPr>
        <w:pStyle w:val="a4"/>
        <w:spacing w:after="0"/>
        <w:ind w:left="144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p w:rsidR="007A462E" w:rsidRPr="00FC437A" w:rsidRDefault="006E557D" w:rsidP="007A462E">
      <w:pPr>
        <w:pStyle w:val="a4"/>
        <w:numPr>
          <w:ilvl w:val="0"/>
          <w:numId w:val="16"/>
        </w:numPr>
        <w:spacing w:after="0"/>
        <w:jc w:val="both"/>
        <w:outlineLvl w:val="0"/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</w:pPr>
      <w:r w:rsidRPr="00FC437A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Новые требования к организации и содержанию образовательных программ подготовки учителей:</w:t>
      </w:r>
    </w:p>
    <w:p w:rsidR="007A462E" w:rsidRDefault="00136025" w:rsidP="007A462E">
      <w:pPr>
        <w:pStyle w:val="a4"/>
        <w:numPr>
          <w:ilvl w:val="1"/>
          <w:numId w:val="16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7A462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В ходе подготовки педагогов акцент должен быть сделан на практическую подготовку. Основа подготовки – разветвленная </w:t>
      </w:r>
      <w:r w:rsidR="007A462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с</w:t>
      </w:r>
      <w:r w:rsidRPr="007A462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истема практик, стажировок</w:t>
      </w:r>
      <w:r w:rsidR="007A462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(клинический метод), </w:t>
      </w:r>
      <w:r w:rsidRPr="007A462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во время которых студенты и начинающие учителя работают самостоятельно в должности  учителя.</w:t>
      </w:r>
    </w:p>
    <w:p w:rsidR="007A462E" w:rsidRDefault="007A462E" w:rsidP="007A462E">
      <w:pPr>
        <w:pStyle w:val="a4"/>
        <w:numPr>
          <w:ilvl w:val="1"/>
          <w:numId w:val="16"/>
        </w:num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Стержнем образовательных программ подготовки учителей должна стать работа, направленная на обретени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е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каждым студентом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-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будущим учителем своего собственного </w:t>
      </w:r>
      <w:r w:rsidR="00FC437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профессионального стиля, что невозможно в ситуации</w:t>
      </w:r>
      <w:r w:rsid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,</w:t>
      </w:r>
      <w:r w:rsidR="00FC437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при которой комплектование академических групп определяется предметом преподавания. </w:t>
      </w:r>
    </w:p>
    <w:p w:rsidR="00FC437A" w:rsidRDefault="00FC437A" w:rsidP="00FC437A">
      <w:pPr>
        <w:pStyle w:val="a4"/>
        <w:spacing w:after="0"/>
        <w:ind w:left="144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p w:rsidR="00FC437A" w:rsidRDefault="00FC437A" w:rsidP="00FC437A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</w:pPr>
      <w:r w:rsidRPr="00FC437A">
        <w:rPr>
          <w:rFonts w:ascii="Times New Roman" w:eastAsia="Arial Unicode MS" w:hAnsi="Times New Roman" w:cs="Times New Roman"/>
          <w:bCs/>
          <w:i/>
          <w:color w:val="000000"/>
          <w:sz w:val="28"/>
          <w:szCs w:val="28"/>
          <w:u w:color="000000"/>
        </w:rPr>
        <w:t>Основания,  аргументы, доводы:</w:t>
      </w:r>
    </w:p>
    <w:p w:rsidR="00EF147F" w:rsidRPr="00EF147F" w:rsidRDefault="00EF147F" w:rsidP="00EF147F">
      <w:pPr>
        <w:pStyle w:val="a4"/>
        <w:numPr>
          <w:ilvl w:val="0"/>
          <w:numId w:val="20"/>
        </w:numPr>
        <w:spacing w:after="0"/>
        <w:ind w:left="142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е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ще в 19 веке, на учительском факультете классического университета города Иена (1843 год) подготовка учителей для гимназий осуществлялась в течение 2-х лет, основными формами обучения были  научные семинары и практика, студентами педагогических программ (семинаристами) становились студенты 2-го курса философского и теологич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еского факультетов университета;</w:t>
      </w:r>
    </w:p>
    <w:p w:rsidR="00EF147F" w:rsidRDefault="00EF147F" w:rsidP="00EF147F">
      <w:pPr>
        <w:spacing w:after="0"/>
        <w:ind w:left="70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p w:rsidR="00EF147F" w:rsidRDefault="00EF147F" w:rsidP="00EF147F">
      <w:pPr>
        <w:pStyle w:val="a4"/>
        <w:numPr>
          <w:ilvl w:val="0"/>
          <w:numId w:val="20"/>
        </w:numPr>
        <w:spacing w:after="0"/>
        <w:ind w:left="142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России, в ходе реформ 1804 – 1871 годов, подготовка педагогов осуществлялась из числа студентов историко-филологического и физико-математического факультетов классических университетов. Научное знание по педагогике и психологии студенты приобретали на семинарах по философии образования, 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lastRenderedPageBreak/>
        <w:t>где изучение теории совмещалось с исследовательской работой, а практические навыки – в  школе, в ходе п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рактики на втором году обучения;</w:t>
      </w:r>
    </w:p>
    <w:p w:rsidR="00EF147F" w:rsidRDefault="00EF147F" w:rsidP="00EF147F">
      <w:pPr>
        <w:pStyle w:val="a4"/>
        <w:numPr>
          <w:ilvl w:val="0"/>
          <w:numId w:val="20"/>
        </w:numPr>
        <w:spacing w:after="0"/>
        <w:ind w:left="142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США</w:t>
      </w:r>
      <w:r>
        <w:rPr>
          <w:rStyle w:val="a7"/>
          <w:rFonts w:ascii="Times New Roman" w:eastAsia="Arial Unicode MS" w:hAnsi="Times New Roman"/>
          <w:bCs/>
          <w:color w:val="000000"/>
          <w:sz w:val="28"/>
          <w:szCs w:val="28"/>
          <w:u w:color="000000"/>
        </w:rPr>
        <w:footnoteReference w:id="13"/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, сегодня, 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широко распространена так называемая клиническая модель подготовки учителей (аналог ординатуры медицинского вуза), которая сочетает самостоятельную работу студента в школе с теоретической подготовкой;</w:t>
      </w:r>
    </w:p>
    <w:p w:rsidR="00EF147F" w:rsidRDefault="00EF147F" w:rsidP="00EF147F">
      <w:pPr>
        <w:pStyle w:val="a4"/>
        <w:numPr>
          <w:ilvl w:val="0"/>
          <w:numId w:val="20"/>
        </w:numPr>
        <w:spacing w:after="0"/>
        <w:ind w:left="142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 Франции</w:t>
      </w:r>
      <w:r>
        <w:rPr>
          <w:rStyle w:val="a7"/>
          <w:rFonts w:ascii="Times New Roman" w:eastAsia="Arial Unicode MS" w:hAnsi="Times New Roman"/>
          <w:bCs/>
          <w:color w:val="000000"/>
          <w:sz w:val="28"/>
          <w:szCs w:val="28"/>
          <w:u w:color="000000"/>
        </w:rPr>
        <w:footnoteReference w:id="14"/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 практика занимает весьма важное, если не сказать центральное место в образовательной программе подготовки учителей. В бакалавриате ее продолжительность составляет 3 недели на первом курсе 7 - на втором. При этом</w:t>
      </w:r>
      <w:proofErr w:type="gramStart"/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,</w:t>
      </w:r>
      <w:proofErr w:type="gramEnd"/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4 из 7 недель практики студентов второго курса – самостоятельная работа (фактически – это стажировка).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 значение практики в магистратуре мы уже говорили выше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;</w:t>
      </w:r>
    </w:p>
    <w:p w:rsidR="00EF147F" w:rsidRDefault="00EF147F" w:rsidP="00EF147F">
      <w:pPr>
        <w:pStyle w:val="a4"/>
        <w:numPr>
          <w:ilvl w:val="0"/>
          <w:numId w:val="20"/>
        </w:numPr>
        <w:spacing w:after="0"/>
        <w:ind w:left="142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Англии</w:t>
      </w:r>
      <w:r>
        <w:rPr>
          <w:rStyle w:val="a7"/>
          <w:rFonts w:ascii="Times New Roman" w:eastAsia="Arial Unicode MS" w:hAnsi="Times New Roman"/>
          <w:bCs/>
          <w:color w:val="000000"/>
          <w:sz w:val="28"/>
          <w:szCs w:val="28"/>
          <w:u w:color="000000"/>
        </w:rPr>
        <w:footnoteReference w:id="15"/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 еще в 90-е годы, была выстроена система непрерывного </w:t>
      </w:r>
      <w:proofErr w:type="gramStart"/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педагогического</w:t>
      </w:r>
      <w:proofErr w:type="gramEnd"/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образования, сложилась стройная система практик и стажировок в школах.  Результатом чего стало то, что молодой учитель начинает полностью самостоятельно </w:t>
      </w:r>
      <w:proofErr w:type="gramStart"/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работать</w:t>
      </w:r>
      <w:proofErr w:type="gramEnd"/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имея от полутора до двух лет стажа работы «под присмотром» наставника, которому снижают его собственную учительскую, нагружая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его заботами о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б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учителе-стажёре;</w:t>
      </w:r>
    </w:p>
    <w:p w:rsidR="006C06F5" w:rsidRDefault="00EF147F" w:rsidP="006C06F5">
      <w:pPr>
        <w:pStyle w:val="a4"/>
        <w:numPr>
          <w:ilvl w:val="0"/>
          <w:numId w:val="20"/>
        </w:numPr>
        <w:spacing w:after="0"/>
        <w:ind w:left="142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в</w:t>
      </w:r>
      <w:r w:rsidRPr="00EF14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9 из 11 университетов Финляндии, которые реализуют образовательные программы подготовки учителей, имеются базовые школы, в которых проходят практики и стажиров</w:t>
      </w:r>
      <w:r w:rsidR="006C06F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ки их студенты и т.д.;</w:t>
      </w:r>
    </w:p>
    <w:p w:rsidR="00FC437A" w:rsidRPr="006C06F5" w:rsidRDefault="00EF147F" w:rsidP="006C06F5">
      <w:pPr>
        <w:pStyle w:val="a4"/>
        <w:numPr>
          <w:ilvl w:val="0"/>
          <w:numId w:val="20"/>
        </w:numPr>
        <w:spacing w:after="0"/>
        <w:ind w:left="142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6C06F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Наконец, в Швейцарии основными принципами подготовки учителей являются многоканальность и непрерывность. Для занятия должности учителя, помимо прохождения обучения на педагогических программах, студентам необходимо пройти стажировку (18-24 месяца), отработать в школе в качестве стажера (не менее 1 года) и сдать квалификационный экзамен. В дальнейшем, учитель школы может развивать свою карьеру, повышая уровень профессиональной квалификации от новичка к специалисту, знатоку и, наконец, учителю-эксперту.</w:t>
      </w:r>
    </w:p>
    <w:p w:rsidR="00EF147F" w:rsidRDefault="00EF147F" w:rsidP="00EF147F">
      <w:p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p w:rsidR="006C06F5" w:rsidRDefault="006C06F5" w:rsidP="006B0167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Итак, в заключени</w:t>
      </w:r>
      <w:r w:rsidR="006B016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е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следует сказать, что, с </w:t>
      </w:r>
      <w:r w:rsidRPr="006C06F5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нашей точки зрения, базовыми характеристиками новой модели отечественного педагогического образования  должны стать</w:t>
      </w:r>
      <w:r w:rsidRPr="006C06F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: 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многообразие </w:t>
      </w:r>
      <w:r w:rsidRPr="006C06F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мест подготовки (не только профильный вуз,  но и педагогический факультет, набирающий студентов 2-3 курсов всех факультетов)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и образовательных программ для разных категорий претендентов</w:t>
      </w:r>
      <w:r w:rsidRPr="006C06F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;  особенности приема (отбор наиболее подготовленных и мотивированных), новая структура основной образовательной программы (увеличенная доля практики и стажировок), квалификационный экзамен по окончании обучения (наряду с проверкой академической успешности)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, создание карьерных перспектив внутри профессии</w:t>
      </w:r>
      <w:r w:rsidRPr="006C06F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.</w:t>
      </w:r>
    </w:p>
    <w:p w:rsidR="00136025" w:rsidRPr="006C06F5" w:rsidRDefault="006C06F5" w:rsidP="006B0167">
      <w:pPr>
        <w:spacing w:after="0"/>
        <w:ind w:firstLine="708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Обратим, при этом, внимание на то, что </w:t>
      </w:r>
      <w:r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всю совокупность мероприятий по модернизации педагогического образования буде</w:t>
      </w:r>
      <w:r w:rsidR="00381DA0"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т</w:t>
      </w:r>
      <w:r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 xml:space="preserve"> </w:t>
      </w:r>
      <w:r w:rsidR="00381DA0"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возможно реализовать</w:t>
      </w:r>
      <w:r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 xml:space="preserve">, если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будет продолжена работа и в обозримом будущем </w:t>
      </w:r>
      <w:r w:rsidR="00381DA0"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буде</w:t>
      </w:r>
      <w:r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 xml:space="preserve">т принят </w:t>
      </w:r>
      <w:r w:rsidR="00136025"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стандарт профессиональной деятельности педагогов</w:t>
      </w:r>
      <w:r w:rsidR="00381DA0"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 xml:space="preserve"> и новые</w:t>
      </w:r>
      <w:r w:rsidR="00136025"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 xml:space="preserve"> стандар</w:t>
      </w:r>
      <w:r w:rsidR="00381DA0"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>ты</w:t>
      </w:r>
      <w:r w:rsidR="00136025" w:rsidRPr="00381DA0">
        <w:rPr>
          <w:rFonts w:ascii="Times New Roman" w:eastAsia="Arial Unicode MS" w:hAnsi="Times New Roman" w:cs="Times New Roman"/>
          <w:b/>
          <w:bCs/>
          <w:i/>
          <w:color w:val="000000"/>
          <w:sz w:val="28"/>
          <w:szCs w:val="28"/>
          <w:u w:color="000000"/>
        </w:rPr>
        <w:t xml:space="preserve"> высшего образования по направлениям педагогической подготовки, соответствующих действующим стандартам общего образования</w:t>
      </w:r>
      <w:r w:rsidR="00136025" w:rsidRPr="006C06F5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. </w:t>
      </w:r>
    </w:p>
    <w:p w:rsidR="00136025" w:rsidRPr="006C06F5" w:rsidRDefault="00136025" w:rsidP="006C06F5">
      <w:pPr>
        <w:spacing w:after="0"/>
        <w:jc w:val="both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</w:p>
    <w:sectPr w:rsidR="00136025" w:rsidRPr="006C06F5" w:rsidSect="004A6227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84" w:rsidRDefault="009A6F84" w:rsidP="00CF5029">
      <w:pPr>
        <w:spacing w:after="0" w:line="240" w:lineRule="auto"/>
      </w:pPr>
      <w:r>
        <w:separator/>
      </w:r>
    </w:p>
  </w:endnote>
  <w:endnote w:type="continuationSeparator" w:id="0">
    <w:p w:rsidR="009A6F84" w:rsidRDefault="009A6F84" w:rsidP="00CF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02336"/>
      <w:docPartObj>
        <w:docPartGallery w:val="Page Numbers (Bottom of Page)"/>
        <w:docPartUnique/>
      </w:docPartObj>
    </w:sdtPr>
    <w:sdtEndPr/>
    <w:sdtContent>
      <w:p w:rsidR="00A22065" w:rsidRDefault="00D07EA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2065" w:rsidRDefault="00A220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84" w:rsidRDefault="009A6F84" w:rsidP="00CF5029">
      <w:pPr>
        <w:spacing w:after="0" w:line="240" w:lineRule="auto"/>
      </w:pPr>
      <w:r>
        <w:separator/>
      </w:r>
    </w:p>
  </w:footnote>
  <w:footnote w:type="continuationSeparator" w:id="0">
    <w:p w:rsidR="009A6F84" w:rsidRDefault="009A6F84" w:rsidP="00CF5029">
      <w:pPr>
        <w:spacing w:after="0" w:line="240" w:lineRule="auto"/>
      </w:pPr>
      <w:r>
        <w:continuationSeparator/>
      </w:r>
    </w:p>
  </w:footnote>
  <w:footnote w:id="1">
    <w:p w:rsidR="00556A26" w:rsidRPr="00556A26" w:rsidRDefault="00556A26">
      <w:pPr>
        <w:pStyle w:val="a5"/>
        <w:rPr>
          <w:lang w:val="ru-RU"/>
        </w:rPr>
      </w:pPr>
      <w:r>
        <w:rPr>
          <w:rStyle w:val="a7"/>
        </w:rPr>
        <w:footnoteRef/>
      </w:r>
      <w:r w:rsidRPr="00556A26">
        <w:rPr>
          <w:lang w:val="ru-RU"/>
        </w:rPr>
        <w:t xml:space="preserve"> </w:t>
      </w:r>
      <w:r>
        <w:rPr>
          <w:lang w:val="ru-RU"/>
        </w:rPr>
        <w:t>Материалы рабочей группы по подготовке д</w:t>
      </w:r>
      <w:r w:rsidRPr="00556A26">
        <w:rPr>
          <w:lang w:val="ru-RU"/>
        </w:rPr>
        <w:t>оклад</w:t>
      </w:r>
      <w:r>
        <w:rPr>
          <w:lang w:val="ru-RU"/>
        </w:rPr>
        <w:t xml:space="preserve">а </w:t>
      </w:r>
      <w:r w:rsidRPr="00556A26">
        <w:rPr>
          <w:lang w:val="ru-RU"/>
        </w:rPr>
        <w:t xml:space="preserve"> экспертной группы «Новая школа» в рамках разработанных предложений по корректировке Концепции долгосрочного социально-экономического развития страны на период до 2</w:t>
      </w:r>
      <w:bookmarkStart w:id="0" w:name="_GoBack"/>
      <w:bookmarkEnd w:id="0"/>
      <w:r w:rsidRPr="00556A26">
        <w:rPr>
          <w:lang w:val="ru-RU"/>
        </w:rPr>
        <w:t>020 г. (Стратегия – 2020)</w:t>
      </w:r>
    </w:p>
  </w:footnote>
  <w:footnote w:id="2">
    <w:p w:rsidR="00BD7BBE" w:rsidRPr="00BD7BBE" w:rsidRDefault="00BD7BBE">
      <w:pPr>
        <w:pStyle w:val="a5"/>
        <w:rPr>
          <w:lang w:val="ru-RU"/>
        </w:rPr>
      </w:pPr>
      <w:r>
        <w:rPr>
          <w:rStyle w:val="a7"/>
        </w:rPr>
        <w:footnoteRef/>
      </w:r>
      <w:r w:rsidRPr="0089250F">
        <w:rPr>
          <w:lang w:val="ru-RU"/>
        </w:rPr>
        <w:t xml:space="preserve"> </w:t>
      </w:r>
      <w:r w:rsidR="00B35B91">
        <w:rPr>
          <w:lang w:val="ru-RU"/>
        </w:rPr>
        <w:t xml:space="preserve">Приводится по книге: </w:t>
      </w:r>
      <w:proofErr w:type="spellStart"/>
      <w:r w:rsidR="0089250F">
        <w:rPr>
          <w:lang w:val="ru-RU"/>
        </w:rPr>
        <w:t>Каспржак</w:t>
      </w:r>
      <w:proofErr w:type="spellEnd"/>
      <w:proofErr w:type="gramStart"/>
      <w:r w:rsidR="00B35B91">
        <w:rPr>
          <w:lang w:val="ru-RU"/>
        </w:rPr>
        <w:t xml:space="preserve"> А</w:t>
      </w:r>
      <w:proofErr w:type="gramEnd"/>
      <w:r w:rsidR="00B35B91">
        <w:rPr>
          <w:lang w:val="ru-RU"/>
        </w:rPr>
        <w:t xml:space="preserve">, </w:t>
      </w:r>
      <w:r w:rsidR="0089250F">
        <w:rPr>
          <w:lang w:val="ru-RU"/>
        </w:rPr>
        <w:t xml:space="preserve">Поливанова </w:t>
      </w:r>
      <w:r w:rsidR="00B35B91">
        <w:rPr>
          <w:lang w:val="ru-RU"/>
        </w:rPr>
        <w:t xml:space="preserve">К., </w:t>
      </w:r>
      <w:r w:rsidR="0089250F">
        <w:rPr>
          <w:lang w:val="ru-RU"/>
        </w:rPr>
        <w:t>и др. «</w:t>
      </w:r>
      <w:r w:rsidR="0089250F" w:rsidRPr="0089250F">
        <w:rPr>
          <w:lang w:val="ru-RU"/>
        </w:rPr>
        <w:t xml:space="preserve">Новые требования к содержанию и методике обучения в российской школе в контексте международного исследования </w:t>
      </w:r>
      <w:r w:rsidR="0089250F" w:rsidRPr="0089250F">
        <w:t>PISA</w:t>
      </w:r>
      <w:r w:rsidR="0089250F" w:rsidRPr="0089250F">
        <w:rPr>
          <w:lang w:val="ru-RU"/>
        </w:rPr>
        <w:t xml:space="preserve"> – 2000</w:t>
      </w:r>
      <w:r w:rsidR="0089250F">
        <w:rPr>
          <w:lang w:val="ru-RU"/>
        </w:rPr>
        <w:t>»</w:t>
      </w:r>
      <w:r w:rsidR="0089250F" w:rsidRPr="0089250F">
        <w:rPr>
          <w:lang w:val="ru-RU"/>
        </w:rPr>
        <w:t>. М. Университетская книга 2005</w:t>
      </w:r>
    </w:p>
  </w:footnote>
  <w:footnote w:id="3">
    <w:p w:rsidR="00B35B91" w:rsidRPr="00B35B91" w:rsidRDefault="00B35B91" w:rsidP="00B35B91">
      <w:pPr>
        <w:pStyle w:val="a5"/>
        <w:rPr>
          <w:lang w:val="ru-RU"/>
        </w:rPr>
      </w:pPr>
      <w:r>
        <w:rPr>
          <w:rStyle w:val="a7"/>
        </w:rPr>
        <w:footnoteRef/>
      </w:r>
      <w:r w:rsidRPr="00B35B91">
        <w:rPr>
          <w:lang w:val="ru-RU"/>
        </w:rPr>
        <w:t xml:space="preserve"> </w:t>
      </w:r>
      <w:r>
        <w:rPr>
          <w:lang w:val="ru-RU"/>
        </w:rPr>
        <w:t xml:space="preserve">Ковалева Г. Отчет  о научно-исследовательской работе </w:t>
      </w:r>
      <w:r w:rsidRPr="00B35B91">
        <w:rPr>
          <w:lang w:val="ru-RU"/>
        </w:rPr>
        <w:t>по теме:</w:t>
      </w:r>
      <w:r>
        <w:rPr>
          <w:lang w:val="ru-RU"/>
        </w:rPr>
        <w:t xml:space="preserve"> </w:t>
      </w:r>
      <w:r w:rsidRPr="00B35B91">
        <w:rPr>
          <w:lang w:val="ru-RU"/>
        </w:rPr>
        <w:t>«Качество педагогического образования в России</w:t>
      </w:r>
      <w:r>
        <w:rPr>
          <w:lang w:val="ru-RU"/>
        </w:rPr>
        <w:t xml:space="preserve"> </w:t>
      </w:r>
      <w:r w:rsidRPr="00B35B91">
        <w:rPr>
          <w:lang w:val="ru-RU"/>
        </w:rPr>
        <w:t>(по результатам международного исследования</w:t>
      </w:r>
      <w:r>
        <w:rPr>
          <w:lang w:val="ru-RU"/>
        </w:rPr>
        <w:t xml:space="preserve"> </w:t>
      </w:r>
      <w:r w:rsidRPr="00B35B91">
        <w:rPr>
          <w:lang w:val="ru-RU"/>
        </w:rPr>
        <w:t>по изучению педагогического образования и оценке качества</w:t>
      </w:r>
      <w:r>
        <w:rPr>
          <w:lang w:val="ru-RU"/>
        </w:rPr>
        <w:t xml:space="preserve"> </w:t>
      </w:r>
      <w:r w:rsidRPr="00B35B91">
        <w:rPr>
          <w:lang w:val="ru-RU"/>
        </w:rPr>
        <w:t xml:space="preserve">подготовки будущих учителей математики </w:t>
      </w:r>
      <w:r>
        <w:t>TEDS</w:t>
      </w:r>
      <w:r w:rsidRPr="00B35B91">
        <w:rPr>
          <w:lang w:val="ru-RU"/>
        </w:rPr>
        <w:t>)»</w:t>
      </w:r>
      <w:r>
        <w:rPr>
          <w:lang w:val="ru-RU"/>
        </w:rPr>
        <w:t>, Институт содержания и методов обучения РАО, 2010</w:t>
      </w:r>
    </w:p>
  </w:footnote>
  <w:footnote w:id="4">
    <w:p w:rsidR="0068610A" w:rsidRPr="0068610A" w:rsidRDefault="0068610A">
      <w:pPr>
        <w:pStyle w:val="a5"/>
        <w:rPr>
          <w:lang w:val="ru-RU"/>
        </w:rPr>
      </w:pPr>
      <w:r>
        <w:rPr>
          <w:rStyle w:val="a7"/>
        </w:rPr>
        <w:footnoteRef/>
      </w:r>
      <w:r w:rsidRPr="0068610A">
        <w:rPr>
          <w:lang w:val="ru-RU"/>
        </w:rPr>
        <w:t xml:space="preserve"> Данные из выступления М.</w:t>
      </w:r>
      <w:r>
        <w:rPr>
          <w:lang w:val="ru-RU"/>
        </w:rPr>
        <w:t xml:space="preserve"> </w:t>
      </w:r>
      <w:proofErr w:type="spellStart"/>
      <w:r w:rsidRPr="0068610A">
        <w:rPr>
          <w:lang w:val="ru-RU"/>
        </w:rPr>
        <w:t>Аграновича</w:t>
      </w:r>
      <w:proofErr w:type="spellEnd"/>
      <w:r w:rsidRPr="0068610A">
        <w:rPr>
          <w:lang w:val="ru-RU"/>
        </w:rPr>
        <w:t xml:space="preserve"> на конференции «Тенденции развития о</w:t>
      </w:r>
      <w:r w:rsidR="00A74195">
        <w:rPr>
          <w:lang w:val="ru-RU"/>
        </w:rPr>
        <w:t>бразования: кадры решают все?»</w:t>
      </w:r>
      <w:r>
        <w:rPr>
          <w:lang w:val="ru-RU"/>
        </w:rPr>
        <w:t>, февраль 2013.</w:t>
      </w:r>
    </w:p>
  </w:footnote>
  <w:footnote w:id="5">
    <w:p w:rsidR="00325AB1" w:rsidRPr="00325AB1" w:rsidRDefault="00325AB1">
      <w:pPr>
        <w:pStyle w:val="a5"/>
        <w:rPr>
          <w:lang w:val="ru-RU"/>
        </w:rPr>
      </w:pPr>
      <w:r>
        <w:rPr>
          <w:rStyle w:val="a7"/>
        </w:rPr>
        <w:footnoteRef/>
      </w:r>
      <w:r w:rsidRPr="00325AB1">
        <w:rPr>
          <w:lang w:val="ru-RU"/>
        </w:rPr>
        <w:t xml:space="preserve"> </w:t>
      </w:r>
      <w:r w:rsidR="00A74195">
        <w:rPr>
          <w:lang w:val="ru-RU"/>
        </w:rPr>
        <w:t>П</w:t>
      </w:r>
      <w:r w:rsidR="003411BF">
        <w:rPr>
          <w:lang w:val="ru-RU"/>
        </w:rPr>
        <w:t>о д</w:t>
      </w:r>
      <w:r w:rsidRPr="00325AB1">
        <w:rPr>
          <w:lang w:val="ru-RU"/>
        </w:rPr>
        <w:t>анным мониторинга Качества приема в вузы НИУ ВШЭ</w:t>
      </w:r>
      <w:r w:rsidR="003411BF">
        <w:rPr>
          <w:lang w:val="ru-RU"/>
        </w:rPr>
        <w:t>, 2010</w:t>
      </w:r>
    </w:p>
  </w:footnote>
  <w:footnote w:id="6">
    <w:p w:rsidR="00E93519" w:rsidRPr="00E93519" w:rsidRDefault="00E93519">
      <w:pPr>
        <w:pStyle w:val="a5"/>
        <w:rPr>
          <w:lang w:val="ru-RU"/>
        </w:rPr>
      </w:pPr>
      <w:r>
        <w:rPr>
          <w:rStyle w:val="a7"/>
        </w:rPr>
        <w:footnoteRef/>
      </w:r>
      <w:r w:rsidRPr="00E93519">
        <w:rPr>
          <w:lang w:val="ru-RU"/>
        </w:rPr>
        <w:t xml:space="preserve"> Сидоркин А.М. Профессиональная подготовка учителей в США: уроки для России // Вопросы </w:t>
      </w:r>
      <w:r w:rsidR="00A74195">
        <w:rPr>
          <w:lang w:val="ru-RU"/>
        </w:rPr>
        <w:t>о</w:t>
      </w:r>
      <w:r w:rsidRPr="00E93519">
        <w:rPr>
          <w:lang w:val="ru-RU"/>
        </w:rPr>
        <w:t xml:space="preserve">бразования. </w:t>
      </w:r>
      <w:r w:rsidRPr="00A74195">
        <w:rPr>
          <w:lang w:val="ru-RU"/>
        </w:rPr>
        <w:t>2013. № 1.</w:t>
      </w:r>
    </w:p>
  </w:footnote>
  <w:footnote w:id="7">
    <w:p w:rsidR="00E93519" w:rsidRPr="00E93519" w:rsidRDefault="00E93519">
      <w:pPr>
        <w:pStyle w:val="a5"/>
        <w:rPr>
          <w:lang w:val="ru-RU"/>
        </w:rPr>
      </w:pPr>
      <w:r>
        <w:rPr>
          <w:rStyle w:val="a7"/>
        </w:rPr>
        <w:footnoteRef/>
      </w:r>
      <w:r w:rsidRPr="00E93519">
        <w:rPr>
          <w:lang w:val="ru-RU"/>
        </w:rPr>
        <w:t xml:space="preserve"> </w:t>
      </w:r>
      <w:proofErr w:type="spellStart"/>
      <w:r w:rsidRPr="00E93519">
        <w:rPr>
          <w:lang w:val="ru-RU"/>
        </w:rPr>
        <w:t>Собкин</w:t>
      </w:r>
      <w:proofErr w:type="spellEnd"/>
      <w:r w:rsidRPr="00E93519">
        <w:rPr>
          <w:lang w:val="ru-RU"/>
        </w:rPr>
        <w:t xml:space="preserve"> В., Ткаченко О. Студент педагогического вуза: жизненные и профессиональные перспективы. – М.: РАО, 2007.</w:t>
      </w:r>
    </w:p>
  </w:footnote>
  <w:footnote w:id="8">
    <w:p w:rsidR="00E93519" w:rsidRPr="00E93519" w:rsidRDefault="00E93519">
      <w:pPr>
        <w:pStyle w:val="a5"/>
        <w:rPr>
          <w:lang w:val="ru-RU"/>
        </w:rPr>
      </w:pPr>
      <w:r>
        <w:rPr>
          <w:rStyle w:val="a7"/>
        </w:rPr>
        <w:footnoteRef/>
      </w:r>
      <w:r w:rsidRPr="00E93519">
        <w:rPr>
          <w:lang w:val="ru-RU"/>
        </w:rPr>
        <w:t xml:space="preserve"> </w:t>
      </w:r>
      <w:r>
        <w:rPr>
          <w:lang w:val="ru-RU"/>
        </w:rPr>
        <w:t xml:space="preserve">Там же. </w:t>
      </w:r>
    </w:p>
  </w:footnote>
  <w:footnote w:id="9">
    <w:p w:rsidR="000F20B5" w:rsidRPr="000F20B5" w:rsidRDefault="000F20B5">
      <w:pPr>
        <w:pStyle w:val="a5"/>
        <w:rPr>
          <w:lang w:val="ru-RU"/>
        </w:rPr>
      </w:pPr>
      <w:r>
        <w:rPr>
          <w:rStyle w:val="a7"/>
        </w:rPr>
        <w:footnoteRef/>
      </w:r>
      <w:r w:rsidRPr="000F20B5">
        <w:rPr>
          <w:lang w:val="ru-RU"/>
        </w:rPr>
        <w:t xml:space="preserve"> Данные из выступления М. </w:t>
      </w:r>
      <w:proofErr w:type="spellStart"/>
      <w:r w:rsidRPr="000F20B5">
        <w:rPr>
          <w:lang w:val="ru-RU"/>
        </w:rPr>
        <w:t>Аграновича</w:t>
      </w:r>
      <w:proofErr w:type="spellEnd"/>
      <w:r w:rsidRPr="000F20B5">
        <w:rPr>
          <w:lang w:val="ru-RU"/>
        </w:rPr>
        <w:t xml:space="preserve"> на конференции «Тенденции развития образования: кадры решают все?», февраль 2013.</w:t>
      </w:r>
    </w:p>
  </w:footnote>
  <w:footnote w:id="10">
    <w:p w:rsidR="003064B2" w:rsidRPr="003064B2" w:rsidRDefault="003064B2">
      <w:pPr>
        <w:pStyle w:val="a5"/>
        <w:rPr>
          <w:lang w:val="ru-RU"/>
        </w:rPr>
      </w:pPr>
      <w:r>
        <w:rPr>
          <w:rStyle w:val="a7"/>
        </w:rPr>
        <w:footnoteRef/>
      </w:r>
      <w:r w:rsidRPr="003064B2">
        <w:rPr>
          <w:lang w:val="ru-RU"/>
        </w:rPr>
        <w:t xml:space="preserve"> </w:t>
      </w:r>
      <w:r>
        <w:rPr>
          <w:lang w:val="ru-RU"/>
        </w:rPr>
        <w:t>Данные Министерства образования и науки РФ</w:t>
      </w:r>
    </w:p>
  </w:footnote>
  <w:footnote w:id="11">
    <w:p w:rsidR="00CC60C9" w:rsidRPr="00CC60C9" w:rsidRDefault="00CC60C9">
      <w:pPr>
        <w:pStyle w:val="a5"/>
        <w:rPr>
          <w:lang w:val="ru-RU"/>
        </w:rPr>
      </w:pPr>
      <w:r>
        <w:rPr>
          <w:rStyle w:val="a7"/>
        </w:rPr>
        <w:footnoteRef/>
      </w:r>
      <w:r w:rsidRPr="00CC60C9">
        <w:rPr>
          <w:lang w:val="ru-RU"/>
        </w:rPr>
        <w:t xml:space="preserve"> </w:t>
      </w:r>
      <w:proofErr w:type="spellStart"/>
      <w:r w:rsidRPr="00CC60C9">
        <w:rPr>
          <w:lang w:val="ru-RU"/>
        </w:rPr>
        <w:t>Собкин</w:t>
      </w:r>
      <w:proofErr w:type="spellEnd"/>
      <w:r w:rsidRPr="00CC60C9">
        <w:rPr>
          <w:lang w:val="ru-RU"/>
        </w:rPr>
        <w:t xml:space="preserve"> В., Ткаченко О. Студент педагогического вуза: жизненные и профессиональные перспективы. – М.: РАО, 2007.</w:t>
      </w:r>
    </w:p>
  </w:footnote>
  <w:footnote w:id="12">
    <w:p w:rsidR="006E557D" w:rsidRPr="006E557D" w:rsidRDefault="006E557D">
      <w:pPr>
        <w:pStyle w:val="a5"/>
        <w:rPr>
          <w:lang w:val="ru-RU"/>
        </w:rPr>
      </w:pPr>
      <w:r>
        <w:rPr>
          <w:rStyle w:val="a7"/>
        </w:rPr>
        <w:footnoteRef/>
      </w:r>
      <w:r w:rsidRPr="006E557D">
        <w:rPr>
          <w:lang w:val="ru-RU"/>
        </w:rPr>
        <w:t xml:space="preserve"> </w:t>
      </w:r>
      <w:proofErr w:type="spellStart"/>
      <w:r w:rsidRPr="006E557D">
        <w:rPr>
          <w:lang w:val="ru-RU"/>
        </w:rPr>
        <w:t>Сабирова</w:t>
      </w:r>
      <w:proofErr w:type="spellEnd"/>
      <w:r w:rsidRPr="006E557D">
        <w:rPr>
          <w:lang w:val="ru-RU"/>
        </w:rPr>
        <w:t xml:space="preserve"> Д.А. Обеспечение качества непрерывного педагогического образования в Великобритании (вторая половина ХХ в.) 13.00.01 – общая педагогика, история педагогики и образования. Автореферат диссертации на соискание ученой степени доктора педагогических наук, Казань – 2009</w:t>
      </w:r>
    </w:p>
  </w:footnote>
  <w:footnote w:id="13">
    <w:p w:rsidR="00EF147F" w:rsidRPr="00EF147F" w:rsidRDefault="00EF147F">
      <w:pPr>
        <w:pStyle w:val="a5"/>
        <w:rPr>
          <w:lang w:val="ru-RU"/>
        </w:rPr>
      </w:pPr>
      <w:r>
        <w:rPr>
          <w:rStyle w:val="a7"/>
        </w:rPr>
        <w:footnoteRef/>
      </w:r>
      <w:r w:rsidRPr="00EF147F">
        <w:rPr>
          <w:lang w:val="ru-RU"/>
        </w:rPr>
        <w:t xml:space="preserve"> Сидоркин А. М. Профессиональная подготовка учителей в США: уроки для России, Вопросы образования, 1, 2013</w:t>
      </w:r>
    </w:p>
  </w:footnote>
  <w:footnote w:id="14">
    <w:p w:rsidR="00EF147F" w:rsidRPr="00EF147F" w:rsidRDefault="00EF147F">
      <w:pPr>
        <w:pStyle w:val="a5"/>
        <w:rPr>
          <w:lang w:val="ru-RU"/>
        </w:rPr>
      </w:pPr>
      <w:r>
        <w:rPr>
          <w:rStyle w:val="a7"/>
        </w:rPr>
        <w:footnoteRef/>
      </w:r>
      <w:r w:rsidRPr="00EF147F">
        <w:rPr>
          <w:lang w:val="ru-RU"/>
        </w:rPr>
        <w:t xml:space="preserve"> </w:t>
      </w:r>
      <w:r w:rsidRPr="00EF147F">
        <w:t>http</w:t>
      </w:r>
      <w:r w:rsidRPr="00EF147F">
        <w:rPr>
          <w:lang w:val="ru-RU"/>
        </w:rPr>
        <w:t>://</w:t>
      </w:r>
      <w:proofErr w:type="spellStart"/>
      <w:r w:rsidRPr="00EF147F">
        <w:t>vestnik</w:t>
      </w:r>
      <w:proofErr w:type="spellEnd"/>
      <w:r w:rsidRPr="00EF147F">
        <w:rPr>
          <w:lang w:val="ru-RU"/>
        </w:rPr>
        <w:t>.</w:t>
      </w:r>
      <w:proofErr w:type="spellStart"/>
      <w:r w:rsidRPr="00EF147F">
        <w:t>yspu</w:t>
      </w:r>
      <w:proofErr w:type="spellEnd"/>
      <w:r w:rsidRPr="00EF147F">
        <w:rPr>
          <w:lang w:val="ru-RU"/>
        </w:rPr>
        <w:t>.</w:t>
      </w:r>
      <w:r w:rsidRPr="00EF147F">
        <w:t>org</w:t>
      </w:r>
      <w:r w:rsidRPr="00EF147F">
        <w:rPr>
          <w:lang w:val="ru-RU"/>
        </w:rPr>
        <w:t>/</w:t>
      </w:r>
      <w:r w:rsidRPr="00EF147F">
        <w:t>releases</w:t>
      </w:r>
      <w:r w:rsidRPr="00EF147F">
        <w:rPr>
          <w:lang w:val="ru-RU"/>
        </w:rPr>
        <w:t>/</w:t>
      </w:r>
      <w:proofErr w:type="spellStart"/>
      <w:r w:rsidRPr="00EF147F">
        <w:t>obrazovanie</w:t>
      </w:r>
      <w:proofErr w:type="spellEnd"/>
      <w:r w:rsidRPr="00EF147F">
        <w:rPr>
          <w:lang w:val="ru-RU"/>
        </w:rPr>
        <w:t>_</w:t>
      </w:r>
      <w:proofErr w:type="spellStart"/>
      <w:r w:rsidRPr="00EF147F">
        <w:t>za</w:t>
      </w:r>
      <w:proofErr w:type="spellEnd"/>
      <w:r w:rsidRPr="00EF147F">
        <w:rPr>
          <w:lang w:val="ru-RU"/>
        </w:rPr>
        <w:t>_</w:t>
      </w:r>
      <w:proofErr w:type="spellStart"/>
      <w:r w:rsidRPr="00EF147F">
        <w:t>rubegom</w:t>
      </w:r>
      <w:proofErr w:type="spellEnd"/>
      <w:r w:rsidRPr="00EF147F">
        <w:rPr>
          <w:lang w:val="ru-RU"/>
        </w:rPr>
        <w:t>/1_2/</w:t>
      </w:r>
    </w:p>
  </w:footnote>
  <w:footnote w:id="15">
    <w:p w:rsidR="00EF147F" w:rsidRPr="00EF147F" w:rsidRDefault="00EF147F">
      <w:pPr>
        <w:pStyle w:val="a5"/>
        <w:rPr>
          <w:lang w:val="ru-RU"/>
        </w:rPr>
      </w:pPr>
      <w:r>
        <w:rPr>
          <w:rStyle w:val="a7"/>
        </w:rPr>
        <w:footnoteRef/>
      </w:r>
      <w:r w:rsidRPr="00EF147F">
        <w:rPr>
          <w:lang w:val="ru-RU"/>
        </w:rPr>
        <w:t xml:space="preserve"> </w:t>
      </w:r>
      <w:proofErr w:type="spellStart"/>
      <w:r w:rsidRPr="00EF147F">
        <w:rPr>
          <w:lang w:val="ru-RU"/>
        </w:rPr>
        <w:t>Сабирова</w:t>
      </w:r>
      <w:proofErr w:type="spellEnd"/>
      <w:r w:rsidRPr="00EF147F">
        <w:rPr>
          <w:lang w:val="ru-RU"/>
        </w:rPr>
        <w:t xml:space="preserve"> Д.А. Обеспечение качества непрерывного педагогического образования в Великобритании (вторая половина ХХ в.) 13.00.01 – общая педагогика, история педагогики и образования. Автореферат диссертации на соискание ученой степени доктора педагогических наук, Казань – 2009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485"/>
    <w:multiLevelType w:val="hybridMultilevel"/>
    <w:tmpl w:val="DABC05D0"/>
    <w:lvl w:ilvl="0" w:tplc="782CA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4C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A0A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5E9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69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88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784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E0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C1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E207F4"/>
    <w:multiLevelType w:val="hybridMultilevel"/>
    <w:tmpl w:val="8C541D78"/>
    <w:lvl w:ilvl="0" w:tplc="02F23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F66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C5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6E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45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C7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026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8CC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B4E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4F5014"/>
    <w:multiLevelType w:val="hybridMultilevel"/>
    <w:tmpl w:val="ABB4C4DA"/>
    <w:lvl w:ilvl="0" w:tplc="5714F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B44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EEB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23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48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6CE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CB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0E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00B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FF17BF"/>
    <w:multiLevelType w:val="hybridMultilevel"/>
    <w:tmpl w:val="4352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C22B2"/>
    <w:multiLevelType w:val="hybridMultilevel"/>
    <w:tmpl w:val="A0DEF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6E2DA2"/>
    <w:multiLevelType w:val="hybridMultilevel"/>
    <w:tmpl w:val="AB44D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83554"/>
    <w:multiLevelType w:val="hybridMultilevel"/>
    <w:tmpl w:val="248ED866"/>
    <w:lvl w:ilvl="0" w:tplc="3B98C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EF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24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6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A2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E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FE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AF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E4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0C498C"/>
    <w:multiLevelType w:val="hybridMultilevel"/>
    <w:tmpl w:val="8FFE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F31AF"/>
    <w:multiLevelType w:val="hybridMultilevel"/>
    <w:tmpl w:val="8CBA4090"/>
    <w:lvl w:ilvl="0" w:tplc="688E8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8F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00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06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8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41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40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B02F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652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0476F"/>
    <w:multiLevelType w:val="hybridMultilevel"/>
    <w:tmpl w:val="76C2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439B8"/>
    <w:multiLevelType w:val="hybridMultilevel"/>
    <w:tmpl w:val="B634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9316F"/>
    <w:multiLevelType w:val="hybridMultilevel"/>
    <w:tmpl w:val="4CB0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8603D"/>
    <w:multiLevelType w:val="hybridMultilevel"/>
    <w:tmpl w:val="BD1C902E"/>
    <w:lvl w:ilvl="0" w:tplc="B8E6F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727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6F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28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45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05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64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EAE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47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7D5088B"/>
    <w:multiLevelType w:val="hybridMultilevel"/>
    <w:tmpl w:val="E7926D7E"/>
    <w:lvl w:ilvl="0" w:tplc="0F103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20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9AC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C1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9E2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0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F0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E4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AAE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99E3E7B"/>
    <w:multiLevelType w:val="hybridMultilevel"/>
    <w:tmpl w:val="62A260A4"/>
    <w:lvl w:ilvl="0" w:tplc="D5AA9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CB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80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05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C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6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01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47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B66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4624589"/>
    <w:multiLevelType w:val="hybridMultilevel"/>
    <w:tmpl w:val="A768C34A"/>
    <w:lvl w:ilvl="0" w:tplc="62E8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4D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0C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0E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0CA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44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6E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07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85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680D81"/>
    <w:multiLevelType w:val="hybridMultilevel"/>
    <w:tmpl w:val="8A4AB8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BD062D1"/>
    <w:multiLevelType w:val="hybridMultilevel"/>
    <w:tmpl w:val="7DD6F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490891"/>
    <w:multiLevelType w:val="hybridMultilevel"/>
    <w:tmpl w:val="A652354A"/>
    <w:lvl w:ilvl="0" w:tplc="C78E3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EF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8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CA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80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FC1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43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FC1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41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CC6C4B"/>
    <w:multiLevelType w:val="hybridMultilevel"/>
    <w:tmpl w:val="6D8AB9EA"/>
    <w:lvl w:ilvl="0" w:tplc="F6085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05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864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3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AF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98A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84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A4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84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5"/>
  </w:num>
  <w:num w:numId="5">
    <w:abstractNumId w:val="12"/>
  </w:num>
  <w:num w:numId="6">
    <w:abstractNumId w:val="0"/>
  </w:num>
  <w:num w:numId="7">
    <w:abstractNumId w:val="9"/>
  </w:num>
  <w:num w:numId="8">
    <w:abstractNumId w:val="14"/>
  </w:num>
  <w:num w:numId="9">
    <w:abstractNumId w:val="1"/>
  </w:num>
  <w:num w:numId="10">
    <w:abstractNumId w:val="18"/>
  </w:num>
  <w:num w:numId="11">
    <w:abstractNumId w:val="6"/>
  </w:num>
  <w:num w:numId="12">
    <w:abstractNumId w:val="8"/>
  </w:num>
  <w:num w:numId="13">
    <w:abstractNumId w:val="17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DF"/>
    <w:rsid w:val="00021DC0"/>
    <w:rsid w:val="0002600D"/>
    <w:rsid w:val="00047FA5"/>
    <w:rsid w:val="00060F58"/>
    <w:rsid w:val="00084C22"/>
    <w:rsid w:val="0009387D"/>
    <w:rsid w:val="000A67F8"/>
    <w:rsid w:val="000B1472"/>
    <w:rsid w:val="000F20B5"/>
    <w:rsid w:val="00136025"/>
    <w:rsid w:val="00137F96"/>
    <w:rsid w:val="0014233D"/>
    <w:rsid w:val="001C2C2A"/>
    <w:rsid w:val="001E183B"/>
    <w:rsid w:val="001F59D6"/>
    <w:rsid w:val="002630C7"/>
    <w:rsid w:val="002A7B23"/>
    <w:rsid w:val="002B4341"/>
    <w:rsid w:val="003064B2"/>
    <w:rsid w:val="00325AB1"/>
    <w:rsid w:val="00335B97"/>
    <w:rsid w:val="003411BF"/>
    <w:rsid w:val="003454AF"/>
    <w:rsid w:val="00375582"/>
    <w:rsid w:val="00381DA0"/>
    <w:rsid w:val="003C76FE"/>
    <w:rsid w:val="003E01F4"/>
    <w:rsid w:val="004108A5"/>
    <w:rsid w:val="00414C0E"/>
    <w:rsid w:val="0042552F"/>
    <w:rsid w:val="004346FF"/>
    <w:rsid w:val="004A6227"/>
    <w:rsid w:val="004B469B"/>
    <w:rsid w:val="004F0FBD"/>
    <w:rsid w:val="00503DB4"/>
    <w:rsid w:val="00517791"/>
    <w:rsid w:val="005431D3"/>
    <w:rsid w:val="00556A26"/>
    <w:rsid w:val="00582606"/>
    <w:rsid w:val="005A6033"/>
    <w:rsid w:val="005C602F"/>
    <w:rsid w:val="005E38A9"/>
    <w:rsid w:val="0068610A"/>
    <w:rsid w:val="006B0167"/>
    <w:rsid w:val="006C06F5"/>
    <w:rsid w:val="006D2271"/>
    <w:rsid w:val="006E557D"/>
    <w:rsid w:val="00707F03"/>
    <w:rsid w:val="00742248"/>
    <w:rsid w:val="007675AB"/>
    <w:rsid w:val="00781A14"/>
    <w:rsid w:val="007A462E"/>
    <w:rsid w:val="007B3196"/>
    <w:rsid w:val="00875C8A"/>
    <w:rsid w:val="00875D0E"/>
    <w:rsid w:val="0089250F"/>
    <w:rsid w:val="00935F48"/>
    <w:rsid w:val="009419F3"/>
    <w:rsid w:val="009536D2"/>
    <w:rsid w:val="009556F3"/>
    <w:rsid w:val="00967E20"/>
    <w:rsid w:val="009A6F84"/>
    <w:rsid w:val="009C1E76"/>
    <w:rsid w:val="009D4F8D"/>
    <w:rsid w:val="00A029F4"/>
    <w:rsid w:val="00A22065"/>
    <w:rsid w:val="00A44605"/>
    <w:rsid w:val="00A74195"/>
    <w:rsid w:val="00A918FE"/>
    <w:rsid w:val="00B35B91"/>
    <w:rsid w:val="00B55C76"/>
    <w:rsid w:val="00B861FD"/>
    <w:rsid w:val="00BD7BBE"/>
    <w:rsid w:val="00C106C7"/>
    <w:rsid w:val="00C8273C"/>
    <w:rsid w:val="00CC60C9"/>
    <w:rsid w:val="00CF5029"/>
    <w:rsid w:val="00D07EA8"/>
    <w:rsid w:val="00D65F2E"/>
    <w:rsid w:val="00D765BD"/>
    <w:rsid w:val="00D76730"/>
    <w:rsid w:val="00DB4DB9"/>
    <w:rsid w:val="00DC031C"/>
    <w:rsid w:val="00DE6250"/>
    <w:rsid w:val="00DE76AC"/>
    <w:rsid w:val="00DF5CE5"/>
    <w:rsid w:val="00E01241"/>
    <w:rsid w:val="00E12ADF"/>
    <w:rsid w:val="00E363E9"/>
    <w:rsid w:val="00E72E2A"/>
    <w:rsid w:val="00E76679"/>
    <w:rsid w:val="00E93519"/>
    <w:rsid w:val="00EA7B18"/>
    <w:rsid w:val="00EF147F"/>
    <w:rsid w:val="00F823E5"/>
    <w:rsid w:val="00FC437A"/>
    <w:rsid w:val="00FE079B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C"/>
  </w:style>
  <w:style w:type="paragraph" w:styleId="1">
    <w:name w:val="heading 1"/>
    <w:basedOn w:val="a"/>
    <w:next w:val="a"/>
    <w:link w:val="10"/>
    <w:uiPriority w:val="9"/>
    <w:qFormat/>
    <w:rsid w:val="00DE7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DE76AC"/>
    <w:rPr>
      <w:b/>
      <w:bCs/>
    </w:rPr>
  </w:style>
  <w:style w:type="paragraph" w:styleId="a4">
    <w:name w:val="List Paragraph"/>
    <w:basedOn w:val="a"/>
    <w:uiPriority w:val="34"/>
    <w:qFormat/>
    <w:rsid w:val="00DE76AC"/>
    <w:pPr>
      <w:ind w:left="720"/>
      <w:contextualSpacing/>
    </w:pPr>
  </w:style>
  <w:style w:type="paragraph" w:styleId="a5">
    <w:name w:val="footnote text"/>
    <w:basedOn w:val="a"/>
    <w:link w:val="a6"/>
    <w:rsid w:val="00CF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rsid w:val="00CF50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rsid w:val="00CF502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1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4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31D3"/>
  </w:style>
  <w:style w:type="paragraph" w:styleId="ac">
    <w:name w:val="footer"/>
    <w:basedOn w:val="a"/>
    <w:link w:val="ad"/>
    <w:uiPriority w:val="99"/>
    <w:unhideWhenUsed/>
    <w:rsid w:val="0054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31D3"/>
  </w:style>
  <w:style w:type="table" w:styleId="ae">
    <w:name w:val="Table Grid"/>
    <w:basedOn w:val="a1"/>
    <w:uiPriority w:val="59"/>
    <w:rsid w:val="00B3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AC"/>
  </w:style>
  <w:style w:type="paragraph" w:styleId="1">
    <w:name w:val="heading 1"/>
    <w:basedOn w:val="a"/>
    <w:next w:val="a"/>
    <w:link w:val="10"/>
    <w:uiPriority w:val="9"/>
    <w:qFormat/>
    <w:rsid w:val="00DE7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qFormat/>
    <w:rsid w:val="00DE76AC"/>
    <w:rPr>
      <w:b/>
      <w:bCs/>
    </w:rPr>
  </w:style>
  <w:style w:type="paragraph" w:styleId="a4">
    <w:name w:val="List Paragraph"/>
    <w:basedOn w:val="a"/>
    <w:uiPriority w:val="34"/>
    <w:qFormat/>
    <w:rsid w:val="00DE76AC"/>
    <w:pPr>
      <w:ind w:left="720"/>
      <w:contextualSpacing/>
    </w:pPr>
  </w:style>
  <w:style w:type="paragraph" w:styleId="a5">
    <w:name w:val="footnote text"/>
    <w:basedOn w:val="a"/>
    <w:link w:val="a6"/>
    <w:rsid w:val="00CF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rsid w:val="00CF502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basedOn w:val="a0"/>
    <w:rsid w:val="00CF502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1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4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31D3"/>
  </w:style>
  <w:style w:type="paragraph" w:styleId="ac">
    <w:name w:val="footer"/>
    <w:basedOn w:val="a"/>
    <w:link w:val="ad"/>
    <w:uiPriority w:val="99"/>
    <w:unhideWhenUsed/>
    <w:rsid w:val="00543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31D3"/>
  </w:style>
  <w:style w:type="table" w:styleId="ae">
    <w:name w:val="Table Grid"/>
    <w:basedOn w:val="a1"/>
    <w:uiPriority w:val="59"/>
    <w:rsid w:val="00B3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4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РФ!$A$3:$A$9</c:f>
              <c:numCache>
                <c:formatCode>General</c:formatCode>
                <c:ptCount val="7"/>
                <c:pt idx="0">
                  <c:v>1959</c:v>
                </c:pt>
                <c:pt idx="1">
                  <c:v>1970</c:v>
                </c:pt>
                <c:pt idx="2">
                  <c:v>1979</c:v>
                </c:pt>
                <c:pt idx="3">
                  <c:v>1989</c:v>
                </c:pt>
                <c:pt idx="4">
                  <c:v>1994</c:v>
                </c:pt>
                <c:pt idx="5">
                  <c:v>2002</c:v>
                </c:pt>
                <c:pt idx="6">
                  <c:v>2010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483648"/>
        <c:axId val="59485184"/>
      </c:barChart>
      <c:lineChart>
        <c:grouping val="standard"/>
        <c:varyColors val="0"/>
        <c:ser>
          <c:idx val="1"/>
          <c:order val="1"/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РФ!$B$3:$B$9</c:f>
              <c:numCache>
                <c:formatCode>General</c:formatCode>
                <c:ptCount val="7"/>
                <c:pt idx="0">
                  <c:v>2.7</c:v>
                </c:pt>
                <c:pt idx="1">
                  <c:v>5</c:v>
                </c:pt>
                <c:pt idx="2">
                  <c:v>7.7</c:v>
                </c:pt>
                <c:pt idx="3">
                  <c:v>11.3</c:v>
                </c:pt>
                <c:pt idx="4">
                  <c:v>13.3</c:v>
                </c:pt>
                <c:pt idx="5">
                  <c:v>16</c:v>
                </c:pt>
                <c:pt idx="6">
                  <c:v>22.7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488512"/>
        <c:axId val="59486976"/>
      </c:lineChart>
      <c:catAx>
        <c:axId val="59483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85184"/>
        <c:crosses val="autoZero"/>
        <c:auto val="1"/>
        <c:lblAlgn val="ctr"/>
        <c:lblOffset val="100"/>
        <c:noMultiLvlLbl val="0"/>
      </c:catAx>
      <c:valAx>
        <c:axId val="5948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83648"/>
        <c:crosses val="autoZero"/>
        <c:crossBetween val="between"/>
      </c:valAx>
      <c:valAx>
        <c:axId val="59486976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488512"/>
        <c:crosses val="max"/>
        <c:crossBetween val="between"/>
      </c:valAx>
      <c:catAx>
        <c:axId val="59488512"/>
        <c:scaling>
          <c:orientation val="minMax"/>
        </c:scaling>
        <c:delete val="1"/>
        <c:axPos val="b"/>
        <c:majorTickMark val="none"/>
        <c:minorTickMark val="none"/>
        <c:tickLblPos val="nextTo"/>
        <c:crossAx val="59486976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9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024832855778411E-2"/>
          <c:y val="3.5087719298245612E-2"/>
          <c:w val="0.91595033428844319"/>
          <c:h val="0.87226626332725354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20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Лист1!$A$3:$A$5</c:f>
              <c:strCache>
                <c:ptCount val="3"/>
                <c:pt idx="0">
                  <c:v>1 курс</c:v>
                </c:pt>
                <c:pt idx="1">
                  <c:v>3 курс</c:v>
                </c:pt>
                <c:pt idx="2">
                  <c:v>5 курс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22.3</c:v>
                </c:pt>
                <c:pt idx="1">
                  <c:v>17.3</c:v>
                </c:pt>
                <c:pt idx="2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9638144"/>
        <c:axId val="59639680"/>
        <c:axId val="0"/>
      </c:bar3DChart>
      <c:catAx>
        <c:axId val="59638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59639680"/>
        <c:crosses val="autoZero"/>
        <c:auto val="1"/>
        <c:lblAlgn val="ctr"/>
        <c:lblOffset val="100"/>
        <c:noMultiLvlLbl val="0"/>
      </c:catAx>
      <c:valAx>
        <c:axId val="59639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9638144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Лист1!$B$5</c:f>
              <c:strCache>
                <c:ptCount val="1"/>
                <c:pt idx="0">
                  <c:v>С признаками неэффективности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Лист1!$A$6:$A$15</c:f>
              <c:strCache>
                <c:ptCount val="10"/>
                <c:pt idx="0">
                  <c:v>Гуманитарные</c:v>
                </c:pt>
                <c:pt idx="1">
                  <c:v>Инженерно-технические</c:v>
                </c:pt>
                <c:pt idx="2">
                  <c:v>Классические университеты</c:v>
                </c:pt>
                <c:pt idx="3">
                  <c:v>Культуры и искусства </c:v>
                </c:pt>
                <c:pt idx="4">
                  <c:v>Медицинские</c:v>
                </c:pt>
                <c:pt idx="5">
                  <c:v>Педагогические</c:v>
                </c:pt>
                <c:pt idx="6">
                  <c:v>Сельскохозяйственные</c:v>
                </c:pt>
                <c:pt idx="7">
                  <c:v>Физкультуры и спорта</c:v>
                </c:pt>
                <c:pt idx="8">
                  <c:v>Юридические</c:v>
                </c:pt>
                <c:pt idx="9">
                  <c:v>Другие</c:v>
                </c:pt>
              </c:strCache>
            </c:strRef>
          </c:cat>
          <c:val>
            <c:numRef>
              <c:f>Лист1!$B$6:$B$15</c:f>
              <c:numCache>
                <c:formatCode>General</c:formatCode>
                <c:ptCount val="10"/>
                <c:pt idx="0">
                  <c:v>3</c:v>
                </c:pt>
                <c:pt idx="1">
                  <c:v>13</c:v>
                </c:pt>
                <c:pt idx="2">
                  <c:v>16</c:v>
                </c:pt>
                <c:pt idx="3">
                  <c:v>11</c:v>
                </c:pt>
                <c:pt idx="4">
                  <c:v>4</c:v>
                </c:pt>
                <c:pt idx="5">
                  <c:v>30</c:v>
                </c:pt>
                <c:pt idx="6">
                  <c:v>23</c:v>
                </c:pt>
                <c:pt idx="7">
                  <c:v>4</c:v>
                </c:pt>
                <c:pt idx="8">
                  <c:v>0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Эффективные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Лист1!$A$6:$A$15</c:f>
              <c:strCache>
                <c:ptCount val="10"/>
                <c:pt idx="0">
                  <c:v>Гуманитарные</c:v>
                </c:pt>
                <c:pt idx="1">
                  <c:v>Инженерно-технические</c:v>
                </c:pt>
                <c:pt idx="2">
                  <c:v>Классические университеты</c:v>
                </c:pt>
                <c:pt idx="3">
                  <c:v>Культуры и искусства </c:v>
                </c:pt>
                <c:pt idx="4">
                  <c:v>Медицинские</c:v>
                </c:pt>
                <c:pt idx="5">
                  <c:v>Педагогические</c:v>
                </c:pt>
                <c:pt idx="6">
                  <c:v>Сельскохозяйственные</c:v>
                </c:pt>
                <c:pt idx="7">
                  <c:v>Физкультуры и спорта</c:v>
                </c:pt>
                <c:pt idx="8">
                  <c:v>Юридические</c:v>
                </c:pt>
                <c:pt idx="9">
                  <c:v>Другие</c:v>
                </c:pt>
              </c:strCache>
            </c:strRef>
          </c:cat>
          <c:val>
            <c:numRef>
              <c:f>Лист1!$C$6:$C$15</c:f>
              <c:numCache>
                <c:formatCode>General</c:formatCode>
                <c:ptCount val="10"/>
                <c:pt idx="0">
                  <c:v>4</c:v>
                </c:pt>
                <c:pt idx="1">
                  <c:v>82</c:v>
                </c:pt>
                <c:pt idx="2">
                  <c:v>78</c:v>
                </c:pt>
                <c:pt idx="3">
                  <c:v>21</c:v>
                </c:pt>
                <c:pt idx="4">
                  <c:v>35</c:v>
                </c:pt>
                <c:pt idx="5">
                  <c:v>12</c:v>
                </c:pt>
                <c:pt idx="6">
                  <c:v>29</c:v>
                </c:pt>
                <c:pt idx="7">
                  <c:v>7</c:v>
                </c:pt>
                <c:pt idx="8">
                  <c:v>2</c:v>
                </c:pt>
                <c:pt idx="9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622528"/>
        <c:axId val="59624064"/>
        <c:axId val="0"/>
      </c:bar3DChart>
      <c:catAx>
        <c:axId val="59622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9624064"/>
        <c:crosses val="autoZero"/>
        <c:auto val="1"/>
        <c:lblAlgn val="ctr"/>
        <c:lblOffset val="100"/>
        <c:noMultiLvlLbl val="0"/>
      </c:catAx>
      <c:valAx>
        <c:axId val="596240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96225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46785B-4655-4C30-909B-E7A6A35C245B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2E427EFE-DA31-49BB-9EEC-07414B36EFE1}">
      <dgm:prSet phldrT="[Текст]"/>
      <dgm:spPr/>
      <dgm:t>
        <a:bodyPr/>
        <a:lstStyle/>
        <a:p>
          <a:pPr algn="ctr"/>
          <a:r>
            <a:rPr lang="ru-RU" b="1" dirty="0" smtClean="0"/>
            <a:t>Отбор в профессию</a:t>
          </a:r>
          <a:endParaRPr lang="ru-RU" b="1" dirty="0"/>
        </a:p>
      </dgm:t>
    </dgm:pt>
    <dgm:pt modelId="{4C34B20F-7E1E-4D31-B8E0-869C4442E22B}" type="parTrans" cxnId="{5D073533-C721-423E-8DB8-965B81FFF29D}">
      <dgm:prSet/>
      <dgm:spPr/>
      <dgm:t>
        <a:bodyPr/>
        <a:lstStyle/>
        <a:p>
          <a:pPr algn="ctr"/>
          <a:endParaRPr lang="ru-RU"/>
        </a:p>
      </dgm:t>
    </dgm:pt>
    <dgm:pt modelId="{ADA20431-1872-499B-BFDA-D82B87EB64D5}" type="sibTrans" cxnId="{5D073533-C721-423E-8DB8-965B81FFF29D}">
      <dgm:prSet/>
      <dgm:spPr/>
      <dgm:t>
        <a:bodyPr/>
        <a:lstStyle/>
        <a:p>
          <a:pPr algn="ctr"/>
          <a:endParaRPr lang="ru-RU"/>
        </a:p>
      </dgm:t>
    </dgm:pt>
    <dgm:pt modelId="{A55F8FC7-277D-42F6-9985-D6CF2CFE3DF8}">
      <dgm:prSet phldrT="[Текст]"/>
      <dgm:spPr/>
      <dgm:t>
        <a:bodyPr/>
        <a:lstStyle/>
        <a:p>
          <a:pPr algn="ctr">
            <a:spcAft>
              <a:spcPts val="0"/>
            </a:spcAft>
          </a:pPr>
          <a:r>
            <a:rPr lang="ru-RU" b="1" dirty="0" smtClean="0"/>
            <a:t>Подготовка как процесс обеспечивающий </a:t>
          </a:r>
        </a:p>
        <a:p>
          <a:pPr algn="ctr">
            <a:spcAft>
              <a:spcPts val="0"/>
            </a:spcAft>
          </a:pPr>
          <a:r>
            <a:rPr lang="ru-RU" b="1" dirty="0" smtClean="0"/>
            <a:t>готовность</a:t>
          </a:r>
          <a:endParaRPr lang="ru-RU" b="1" dirty="0"/>
        </a:p>
      </dgm:t>
    </dgm:pt>
    <dgm:pt modelId="{62DEE700-751F-473B-8048-0EEA0EE4361E}" type="parTrans" cxnId="{4C401395-604B-4582-9148-3F29A1652CFA}">
      <dgm:prSet/>
      <dgm:spPr/>
      <dgm:t>
        <a:bodyPr/>
        <a:lstStyle/>
        <a:p>
          <a:pPr algn="ctr"/>
          <a:endParaRPr lang="ru-RU"/>
        </a:p>
      </dgm:t>
    </dgm:pt>
    <dgm:pt modelId="{6C058845-FBEC-4CF8-9D1F-871EB5918276}" type="sibTrans" cxnId="{4C401395-604B-4582-9148-3F29A1652CFA}">
      <dgm:prSet/>
      <dgm:spPr/>
      <dgm:t>
        <a:bodyPr/>
        <a:lstStyle/>
        <a:p>
          <a:pPr algn="ctr"/>
          <a:endParaRPr lang="ru-RU"/>
        </a:p>
      </dgm:t>
    </dgm:pt>
    <dgm:pt modelId="{F28D018B-75A9-430D-B45D-A98A664C7F48}">
      <dgm:prSet phldrT="[Текст]"/>
      <dgm:spPr/>
      <dgm:t>
        <a:bodyPr/>
        <a:lstStyle/>
        <a:p>
          <a:pPr algn="ctr"/>
          <a:r>
            <a:rPr lang="ru-RU" b="1" dirty="0" smtClean="0"/>
            <a:t>Вход и закрепление в профессии учителя</a:t>
          </a:r>
          <a:endParaRPr lang="ru-RU" b="1" dirty="0"/>
        </a:p>
      </dgm:t>
    </dgm:pt>
    <dgm:pt modelId="{1384EF09-CCC1-4E66-B509-DA0729C91A98}" type="parTrans" cxnId="{8CE0E75A-47B9-49C2-AA3C-F31CF9438D5E}">
      <dgm:prSet/>
      <dgm:spPr/>
      <dgm:t>
        <a:bodyPr/>
        <a:lstStyle/>
        <a:p>
          <a:pPr algn="ctr"/>
          <a:endParaRPr lang="ru-RU"/>
        </a:p>
      </dgm:t>
    </dgm:pt>
    <dgm:pt modelId="{759A98BA-770F-4507-B076-9AFBE285AFB8}" type="sibTrans" cxnId="{8CE0E75A-47B9-49C2-AA3C-F31CF9438D5E}">
      <dgm:prSet/>
      <dgm:spPr/>
      <dgm:t>
        <a:bodyPr/>
        <a:lstStyle/>
        <a:p>
          <a:pPr algn="ctr"/>
          <a:endParaRPr lang="ru-RU"/>
        </a:p>
      </dgm:t>
    </dgm:pt>
    <dgm:pt modelId="{7DD8E975-9777-451C-B3E3-EC83095C2FE3}" type="pres">
      <dgm:prSet presAssocID="{4B46785B-4655-4C30-909B-E7A6A35C245B}" presName="Name0" presStyleCnt="0">
        <dgm:presLayoutVars>
          <dgm:dir/>
          <dgm:resizeHandles val="exact"/>
        </dgm:presLayoutVars>
      </dgm:prSet>
      <dgm:spPr/>
    </dgm:pt>
    <dgm:pt modelId="{8B7E3F47-0BE4-49B5-8BB6-2C0F58230DF7}" type="pres">
      <dgm:prSet presAssocID="{2E427EFE-DA31-49BB-9EEC-07414B36EFE1}" presName="parTxOnly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452699-C295-486B-8EDF-2A26D383A63E}" type="pres">
      <dgm:prSet presAssocID="{ADA20431-1872-499B-BFDA-D82B87EB64D5}" presName="parSpace" presStyleCnt="0"/>
      <dgm:spPr/>
    </dgm:pt>
    <dgm:pt modelId="{0B9E8B27-6731-4243-B349-A59193E35D76}" type="pres">
      <dgm:prSet presAssocID="{A55F8FC7-277D-42F6-9985-D6CF2CFE3DF8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BEEE9F-9028-4481-92CE-DFBBEADEC7CB}" type="pres">
      <dgm:prSet presAssocID="{6C058845-FBEC-4CF8-9D1F-871EB5918276}" presName="parSpace" presStyleCnt="0"/>
      <dgm:spPr/>
    </dgm:pt>
    <dgm:pt modelId="{F610E5F3-E6E1-4BC8-80FD-5FDFEEACB65D}" type="pres">
      <dgm:prSet presAssocID="{F28D018B-75A9-430D-B45D-A98A664C7F48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E2B69B1-D7F0-4D96-9AA5-6B8CFAC2CF3C}" type="presOf" srcId="{2E427EFE-DA31-49BB-9EEC-07414B36EFE1}" destId="{8B7E3F47-0BE4-49B5-8BB6-2C0F58230DF7}" srcOrd="0" destOrd="0" presId="urn:microsoft.com/office/officeart/2005/8/layout/hChevron3"/>
    <dgm:cxn modelId="{BB63DCA6-D0AF-4C48-98CB-6904F63514A8}" type="presOf" srcId="{A55F8FC7-277D-42F6-9985-D6CF2CFE3DF8}" destId="{0B9E8B27-6731-4243-B349-A59193E35D76}" srcOrd="0" destOrd="0" presId="urn:microsoft.com/office/officeart/2005/8/layout/hChevron3"/>
    <dgm:cxn modelId="{4C401395-604B-4582-9148-3F29A1652CFA}" srcId="{4B46785B-4655-4C30-909B-E7A6A35C245B}" destId="{A55F8FC7-277D-42F6-9985-D6CF2CFE3DF8}" srcOrd="1" destOrd="0" parTransId="{62DEE700-751F-473B-8048-0EEA0EE4361E}" sibTransId="{6C058845-FBEC-4CF8-9D1F-871EB5918276}"/>
    <dgm:cxn modelId="{8CBFFCFD-4846-4200-8EAE-6AA6D2CB5FBB}" type="presOf" srcId="{F28D018B-75A9-430D-B45D-A98A664C7F48}" destId="{F610E5F3-E6E1-4BC8-80FD-5FDFEEACB65D}" srcOrd="0" destOrd="0" presId="urn:microsoft.com/office/officeart/2005/8/layout/hChevron3"/>
    <dgm:cxn modelId="{5D073533-C721-423E-8DB8-965B81FFF29D}" srcId="{4B46785B-4655-4C30-909B-E7A6A35C245B}" destId="{2E427EFE-DA31-49BB-9EEC-07414B36EFE1}" srcOrd="0" destOrd="0" parTransId="{4C34B20F-7E1E-4D31-B8E0-869C4442E22B}" sibTransId="{ADA20431-1872-499B-BFDA-D82B87EB64D5}"/>
    <dgm:cxn modelId="{8CE0E75A-47B9-49C2-AA3C-F31CF9438D5E}" srcId="{4B46785B-4655-4C30-909B-E7A6A35C245B}" destId="{F28D018B-75A9-430D-B45D-A98A664C7F48}" srcOrd="2" destOrd="0" parTransId="{1384EF09-CCC1-4E66-B509-DA0729C91A98}" sibTransId="{759A98BA-770F-4507-B076-9AFBE285AFB8}"/>
    <dgm:cxn modelId="{97ABB739-C902-46A7-8537-993B7D354934}" type="presOf" srcId="{4B46785B-4655-4C30-909B-E7A6A35C245B}" destId="{7DD8E975-9777-451C-B3E3-EC83095C2FE3}" srcOrd="0" destOrd="0" presId="urn:microsoft.com/office/officeart/2005/8/layout/hChevron3"/>
    <dgm:cxn modelId="{E4275F36-24D4-477D-B215-97292C2BE6F0}" type="presParOf" srcId="{7DD8E975-9777-451C-B3E3-EC83095C2FE3}" destId="{8B7E3F47-0BE4-49B5-8BB6-2C0F58230DF7}" srcOrd="0" destOrd="0" presId="urn:microsoft.com/office/officeart/2005/8/layout/hChevron3"/>
    <dgm:cxn modelId="{19BCA73E-99A8-4438-85C4-EBEC148BDCEC}" type="presParOf" srcId="{7DD8E975-9777-451C-B3E3-EC83095C2FE3}" destId="{B9452699-C295-486B-8EDF-2A26D383A63E}" srcOrd="1" destOrd="0" presId="urn:microsoft.com/office/officeart/2005/8/layout/hChevron3"/>
    <dgm:cxn modelId="{3F63A6F5-63E1-41EC-B780-7F37564C76D1}" type="presParOf" srcId="{7DD8E975-9777-451C-B3E3-EC83095C2FE3}" destId="{0B9E8B27-6731-4243-B349-A59193E35D76}" srcOrd="2" destOrd="0" presId="urn:microsoft.com/office/officeart/2005/8/layout/hChevron3"/>
    <dgm:cxn modelId="{C147FD2C-7F06-40EB-A4BC-F6C65EFFF9CC}" type="presParOf" srcId="{7DD8E975-9777-451C-B3E3-EC83095C2FE3}" destId="{F9BEEE9F-9028-4481-92CE-DFBBEADEC7CB}" srcOrd="3" destOrd="0" presId="urn:microsoft.com/office/officeart/2005/8/layout/hChevron3"/>
    <dgm:cxn modelId="{E0DFE166-5EF7-4A55-960C-167865F4C29A}" type="presParOf" srcId="{7DD8E975-9777-451C-B3E3-EC83095C2FE3}" destId="{F610E5F3-E6E1-4BC8-80FD-5FDFEEACB65D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7E3F47-0BE4-49B5-8BB6-2C0F58230DF7}">
      <dsp:nvSpPr>
        <dsp:cNvPr id="0" name=""/>
        <dsp:cNvSpPr/>
      </dsp:nvSpPr>
      <dsp:spPr>
        <a:xfrm>
          <a:off x="2610" y="414062"/>
          <a:ext cx="2282770" cy="91310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342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/>
            <a:t>Отбор в профессию</a:t>
          </a:r>
          <a:endParaRPr lang="ru-RU" sz="1300" b="1" kern="1200" dirty="0"/>
        </a:p>
      </dsp:txBody>
      <dsp:txXfrm>
        <a:off x="2610" y="414062"/>
        <a:ext cx="2054493" cy="913108"/>
      </dsp:txXfrm>
    </dsp:sp>
    <dsp:sp modelId="{0B9E8B27-6731-4243-B349-A59193E35D76}">
      <dsp:nvSpPr>
        <dsp:cNvPr id="0" name=""/>
        <dsp:cNvSpPr/>
      </dsp:nvSpPr>
      <dsp:spPr>
        <a:xfrm>
          <a:off x="1828827" y="414062"/>
          <a:ext cx="2282770" cy="9131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300" b="1" kern="1200" dirty="0" smtClean="0"/>
            <a:t>Подготовка как процесс обеспечивающий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300" b="1" kern="1200" dirty="0" smtClean="0"/>
            <a:t>готовность</a:t>
          </a:r>
          <a:endParaRPr lang="ru-RU" sz="1300" b="1" kern="1200" dirty="0"/>
        </a:p>
      </dsp:txBody>
      <dsp:txXfrm>
        <a:off x="2285381" y="414062"/>
        <a:ext cx="1369662" cy="913108"/>
      </dsp:txXfrm>
    </dsp:sp>
    <dsp:sp modelId="{F610E5F3-E6E1-4BC8-80FD-5FDFEEACB65D}">
      <dsp:nvSpPr>
        <dsp:cNvPr id="0" name=""/>
        <dsp:cNvSpPr/>
      </dsp:nvSpPr>
      <dsp:spPr>
        <a:xfrm>
          <a:off x="3655043" y="414062"/>
          <a:ext cx="2282770" cy="9131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34671" rIns="17336" bIns="34671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/>
            <a:t>Вход и закрепление в профессии учителя</a:t>
          </a:r>
          <a:endParaRPr lang="ru-RU" sz="1300" b="1" kern="1200" dirty="0"/>
        </a:p>
      </dsp:txBody>
      <dsp:txXfrm>
        <a:off x="4111597" y="414062"/>
        <a:ext cx="1369662" cy="9131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5927-2E7C-411C-A7E3-BCC1FE21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pc2</cp:lastModifiedBy>
  <cp:revision>3</cp:revision>
  <dcterms:created xsi:type="dcterms:W3CDTF">2014-02-17T01:21:00Z</dcterms:created>
  <dcterms:modified xsi:type="dcterms:W3CDTF">2014-02-17T02:03:00Z</dcterms:modified>
</cp:coreProperties>
</file>